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A4" w:rsidRDefault="00762EA4" w:rsidP="00762EA4">
      <w:pPr>
        <w:pStyle w:val="BodyA"/>
        <w:suppressAutoHyphens/>
        <w:spacing w:after="0"/>
        <w:jc w:val="right"/>
        <w:rPr>
          <w:rStyle w:val="None"/>
          <w:rFonts w:ascii="Times New Roman" w:eastAsia="Times New Roman" w:hAnsi="Times New Roman" w:cs="Times New Roman"/>
          <w:b/>
          <w:bCs/>
        </w:rPr>
      </w:pPr>
      <w:r>
        <w:rPr>
          <w:rStyle w:val="None"/>
          <w:rFonts w:ascii="Times New Roman" w:hAnsi="Times New Roman"/>
          <w:b/>
          <w:bCs/>
        </w:rPr>
        <w:t>1. pielikums</w:t>
      </w:r>
    </w:p>
    <w:p w:rsidR="00762EA4" w:rsidRDefault="00762EA4" w:rsidP="00762EA4">
      <w:pPr>
        <w:pStyle w:val="BodyA"/>
        <w:suppressAutoHyphens/>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nl-NL"/>
        </w:rPr>
        <w:t>Pieteikums iepirkuma konkursam</w:t>
      </w:r>
    </w:p>
    <w:p w:rsidR="00762EA4" w:rsidRDefault="00762EA4" w:rsidP="00762EA4">
      <w:pPr>
        <w:pStyle w:val="BodyA"/>
        <w:suppressAutoHyphens/>
        <w:spacing w:after="0"/>
        <w:jc w:val="center"/>
        <w:rPr>
          <w:rStyle w:val="None"/>
          <w:rFonts w:ascii="Times New Roman" w:eastAsia="Times New Roman" w:hAnsi="Times New Roman" w:cs="Times New Roman"/>
          <w:color w:val="FF0000"/>
          <w:sz w:val="24"/>
          <w:szCs w:val="24"/>
          <w:u w:color="FF0000"/>
        </w:rPr>
      </w:pPr>
      <w:r>
        <w:rPr>
          <w:rStyle w:val="None"/>
          <w:rFonts w:ascii="Times New Roman" w:hAnsi="Times New Roman"/>
          <w:b/>
          <w:bCs/>
          <w:kern w:val="16"/>
          <w:sz w:val="36"/>
          <w:szCs w:val="36"/>
        </w:rPr>
        <w:t>„</w:t>
      </w:r>
      <w:r>
        <w:rPr>
          <w:rStyle w:val="None"/>
          <w:rFonts w:ascii="Times New Roman" w:hAnsi="Times New Roman"/>
          <w:b/>
          <w:bCs/>
          <w:sz w:val="24"/>
          <w:szCs w:val="24"/>
        </w:rPr>
        <w:t>Profesionālās apskaņošanas</w:t>
      </w:r>
      <w:r>
        <w:rPr>
          <w:rStyle w:val="None"/>
          <w:rFonts w:ascii="Times New Roman" w:hAnsi="Times New Roman"/>
          <w:b/>
          <w:bCs/>
          <w:sz w:val="24"/>
          <w:szCs w:val="24"/>
          <w:lang w:val="es-ES_tradnl"/>
        </w:rPr>
        <w:t xml:space="preserve"> </w:t>
      </w:r>
      <w:r>
        <w:rPr>
          <w:rStyle w:val="None"/>
          <w:rFonts w:ascii="Times New Roman" w:hAnsi="Times New Roman"/>
          <w:b/>
          <w:bCs/>
          <w:sz w:val="24"/>
          <w:szCs w:val="24"/>
        </w:rPr>
        <w:t>tehnikas iegā</w:t>
      </w:r>
      <w:r>
        <w:rPr>
          <w:rStyle w:val="None"/>
          <w:rFonts w:ascii="Times New Roman" w:hAnsi="Times New Roman"/>
          <w:b/>
          <w:bCs/>
          <w:sz w:val="24"/>
          <w:szCs w:val="24"/>
          <w:lang w:val="pt-PT"/>
        </w:rPr>
        <w:t>de L</w:t>
      </w:r>
      <w:r>
        <w:rPr>
          <w:rStyle w:val="None"/>
          <w:rFonts w:ascii="Times New Roman" w:hAnsi="Times New Roman"/>
          <w:b/>
          <w:bCs/>
          <w:sz w:val="24"/>
          <w:szCs w:val="24"/>
        </w:rPr>
        <w:t>KA Latvijas Kultūras koledžas vajadzībām</w:t>
      </w:r>
      <w:r>
        <w:rPr>
          <w:rStyle w:val="None"/>
          <w:rFonts w:ascii="Times New Roman" w:hAnsi="Times New Roman"/>
          <w:b/>
          <w:bCs/>
          <w:kern w:val="16"/>
          <w:sz w:val="24"/>
          <w:szCs w:val="24"/>
        </w:rPr>
        <w:t>”</w:t>
      </w:r>
    </w:p>
    <w:p w:rsidR="00762EA4" w:rsidRDefault="00762EA4" w:rsidP="00762EA4">
      <w:pPr>
        <w:pStyle w:val="BodyA"/>
        <w:suppressAutoHyphens/>
        <w:spacing w:before="20" w:line="240" w:lineRule="auto"/>
        <w:ind w:left="180" w:hanging="180"/>
        <w:jc w:val="center"/>
        <w:rPr>
          <w:rStyle w:val="None"/>
          <w:rFonts w:ascii="Times New Roman" w:eastAsia="Times New Roman" w:hAnsi="Times New Roman" w:cs="Times New Roman"/>
          <w:sz w:val="24"/>
          <w:szCs w:val="24"/>
        </w:rPr>
      </w:pPr>
      <w:r>
        <w:rPr>
          <w:rStyle w:val="None"/>
          <w:rFonts w:ascii="Times New Roman" w:hAnsi="Times New Roman"/>
          <w:b/>
          <w:bCs/>
          <w:sz w:val="24"/>
          <w:szCs w:val="24"/>
          <w:lang w:val="it-IT"/>
        </w:rPr>
        <w:t>Visp</w:t>
      </w:r>
      <w:r>
        <w:rPr>
          <w:rStyle w:val="None"/>
          <w:rFonts w:ascii="Times New Roman" w:hAnsi="Times New Roman"/>
          <w:b/>
          <w:bCs/>
          <w:sz w:val="24"/>
          <w:szCs w:val="24"/>
        </w:rPr>
        <w:t>ārēja informācija par Pretendentu:</w:t>
      </w:r>
      <w:r>
        <w:rPr>
          <w:rStyle w:val="None"/>
          <w:rFonts w:ascii="Times New Roman" w:hAnsi="Times New Roman"/>
          <w:sz w:val="24"/>
          <w:szCs w:val="24"/>
        </w:rPr>
        <w:t xml:space="preserve"> </w:t>
      </w:r>
      <w:r>
        <w:rPr>
          <w:rStyle w:val="None"/>
          <w:rFonts w:ascii="Times New Roman" w:hAnsi="Times New Roman"/>
          <w:i/>
          <w:iCs/>
          <w:sz w:val="24"/>
          <w:szCs w:val="24"/>
        </w:rPr>
        <w:t>(aizpildā</w:t>
      </w:r>
      <w:r>
        <w:rPr>
          <w:rStyle w:val="None"/>
          <w:rFonts w:ascii="Times New Roman" w:hAnsi="Times New Roman"/>
          <w:i/>
          <w:iCs/>
          <w:sz w:val="24"/>
          <w:szCs w:val="24"/>
          <w:lang w:val="nl-NL"/>
        </w:rPr>
        <w:t>mas visas ieda</w:t>
      </w:r>
      <w:r>
        <w:rPr>
          <w:rStyle w:val="None"/>
          <w:rFonts w:ascii="Times New Roman" w:hAnsi="Times New Roman"/>
          <w:i/>
          <w:iCs/>
          <w:sz w:val="24"/>
          <w:szCs w:val="24"/>
        </w:rPr>
        <w:t>ļas)</w:t>
      </w:r>
    </w:p>
    <w:tbl>
      <w:tblPr>
        <w:tblW w:w="9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2636"/>
        <w:gridCol w:w="2950"/>
        <w:gridCol w:w="2950"/>
      </w:tblGrid>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Pretendenta nosaukums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Reģistrācijas Nr.</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Nod. maks. reģistrācijas Nr.</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493"/>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4.</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Juridiskā adrese, pasta indekss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483"/>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lang w:val="da-DK"/>
              </w:rPr>
              <w:t>Faktisk</w:t>
            </w:r>
            <w:r>
              <w:rPr>
                <w:rStyle w:val="None"/>
                <w:rFonts w:ascii="Times New Roman" w:hAnsi="Times New Roman"/>
                <w:i/>
                <w:iCs/>
                <w:sz w:val="20"/>
                <w:szCs w:val="20"/>
              </w:rPr>
              <w:t>ā adrese, pasta indekss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Bankas konta Nr.</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7.</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Bankas kods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Bankas nosaukums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493"/>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9.</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Kontaktpersona (vārds, uzvārds)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10.</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lang w:val="nl-NL"/>
              </w:rPr>
              <w:t>Ie</w:t>
            </w:r>
            <w:r>
              <w:rPr>
                <w:rStyle w:val="None"/>
                <w:rFonts w:ascii="Times New Roman" w:hAnsi="Times New Roman"/>
                <w:i/>
                <w:iCs/>
                <w:sz w:val="20"/>
                <w:szCs w:val="20"/>
              </w:rPr>
              <w:t>ņ</w:t>
            </w:r>
            <w:r>
              <w:rPr>
                <w:rStyle w:val="None"/>
                <w:rFonts w:ascii="Times New Roman" w:hAnsi="Times New Roman"/>
                <w:i/>
                <w:iCs/>
                <w:sz w:val="20"/>
                <w:szCs w:val="20"/>
                <w:lang w:val="fr-FR"/>
              </w:rPr>
              <w:t>emamais amats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11.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Tālruņa Nr.</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r w:rsidR="00762EA4" w:rsidTr="00BC2B01">
        <w:trPr>
          <w:trHeight w:val="320"/>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12.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pPr>
              <w:pStyle w:val="Header"/>
              <w:spacing w:before="20" w:line="276" w:lineRule="auto"/>
            </w:pPr>
            <w:r>
              <w:rPr>
                <w:rStyle w:val="None"/>
                <w:rFonts w:ascii="Times New Roman" w:hAnsi="Times New Roman"/>
                <w:i/>
                <w:iCs/>
                <w:sz w:val="20"/>
                <w:szCs w:val="20"/>
              </w:rPr>
              <w:t>E-pasta adrese</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r>
    </w:tbl>
    <w:p w:rsidR="00762EA4" w:rsidRDefault="00762EA4" w:rsidP="00762EA4">
      <w:pPr>
        <w:pStyle w:val="BodyA"/>
        <w:suppressAutoHyphen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Ar šo pieteikuma vēstuli </w:t>
      </w:r>
      <w:r>
        <w:rPr>
          <w:rStyle w:val="None"/>
          <w:rFonts w:ascii="Times New Roman" w:hAnsi="Times New Roman"/>
          <w:i/>
          <w:iCs/>
          <w:sz w:val="24"/>
          <w:szCs w:val="24"/>
          <w:lang w:val="en-US"/>
        </w:rPr>
        <w:t>Pretendents</w:t>
      </w:r>
      <w:r>
        <w:rPr>
          <w:rStyle w:val="None"/>
          <w:rFonts w:ascii="Times New Roman" w:hAnsi="Times New Roman"/>
          <w:sz w:val="24"/>
          <w:szCs w:val="24"/>
        </w:rPr>
        <w:t>:</w:t>
      </w:r>
    </w:p>
    <w:p w:rsidR="00762EA4" w:rsidRDefault="00762EA4" w:rsidP="00762EA4">
      <w:pPr>
        <w:pStyle w:val="BodyA"/>
        <w:suppressAutoHyphens/>
        <w:spacing w:after="0"/>
        <w:rPr>
          <w:rStyle w:val="None"/>
          <w:rFonts w:ascii="Times New Roman" w:eastAsia="Times New Roman" w:hAnsi="Times New Roman" w:cs="Times New Roman"/>
          <w:b/>
          <w:bCs/>
          <w:color w:val="FF0000"/>
          <w:sz w:val="24"/>
          <w:szCs w:val="24"/>
          <w:u w:color="FF0000"/>
        </w:rPr>
      </w:pPr>
      <w:r>
        <w:rPr>
          <w:rStyle w:val="None"/>
          <w:rFonts w:ascii="Times New Roman" w:hAnsi="Times New Roman"/>
          <w:sz w:val="24"/>
          <w:szCs w:val="24"/>
        </w:rPr>
        <w:t>1. Piedalā</w:t>
      </w:r>
      <w:r>
        <w:rPr>
          <w:rStyle w:val="None"/>
          <w:rFonts w:ascii="Times New Roman" w:hAnsi="Times New Roman"/>
          <w:sz w:val="24"/>
          <w:szCs w:val="24"/>
          <w:lang w:val="nl-NL"/>
        </w:rPr>
        <w:t>s iepirkum</w:t>
      </w:r>
      <w:r>
        <w:rPr>
          <w:rStyle w:val="None"/>
          <w:rFonts w:ascii="Times New Roman" w:hAnsi="Times New Roman"/>
          <w:sz w:val="24"/>
          <w:szCs w:val="24"/>
        </w:rPr>
        <w:t xml:space="preserve">ā </w:t>
      </w:r>
      <w:r>
        <w:rPr>
          <w:rStyle w:val="None"/>
          <w:rFonts w:ascii="Times New Roman" w:hAnsi="Times New Roman"/>
          <w:b/>
          <w:bCs/>
          <w:color w:val="FF0000"/>
          <w:sz w:val="24"/>
          <w:szCs w:val="24"/>
          <w:u w:color="FF0000"/>
        </w:rPr>
        <w:t xml:space="preserve"> </w:t>
      </w:r>
      <w:r>
        <w:rPr>
          <w:rStyle w:val="None"/>
          <w:rFonts w:ascii="Times New Roman" w:hAnsi="Times New Roman"/>
          <w:sz w:val="24"/>
          <w:szCs w:val="24"/>
        </w:rPr>
        <w:t xml:space="preserve"> </w:t>
      </w:r>
      <w:r>
        <w:rPr>
          <w:rStyle w:val="None"/>
          <w:rFonts w:ascii="Times New Roman" w:hAnsi="Times New Roman"/>
          <w:b/>
          <w:bCs/>
          <w:kern w:val="16"/>
          <w:sz w:val="24"/>
          <w:szCs w:val="24"/>
        </w:rPr>
        <w:t>„</w:t>
      </w:r>
      <w:r>
        <w:t xml:space="preserve"> </w:t>
      </w:r>
      <w:r>
        <w:rPr>
          <w:rStyle w:val="None"/>
          <w:rFonts w:ascii="Times New Roman" w:hAnsi="Times New Roman"/>
          <w:b/>
          <w:bCs/>
          <w:sz w:val="24"/>
          <w:szCs w:val="24"/>
        </w:rPr>
        <w:t>Profesionālās apskaņošanas tehnikas iegā</w:t>
      </w:r>
      <w:r>
        <w:rPr>
          <w:rStyle w:val="None"/>
          <w:rFonts w:ascii="Times New Roman" w:hAnsi="Times New Roman"/>
          <w:b/>
          <w:bCs/>
          <w:sz w:val="24"/>
          <w:szCs w:val="24"/>
          <w:lang w:val="pt-PT"/>
        </w:rPr>
        <w:t>de L</w:t>
      </w:r>
      <w:r>
        <w:rPr>
          <w:rStyle w:val="None"/>
          <w:rFonts w:ascii="Times New Roman" w:hAnsi="Times New Roman"/>
          <w:b/>
          <w:bCs/>
          <w:sz w:val="24"/>
          <w:szCs w:val="24"/>
        </w:rPr>
        <w:t>KA Latvijas Kultūras koledžas vajadzībām</w:t>
      </w:r>
      <w:r>
        <w:rPr>
          <w:rStyle w:val="None"/>
          <w:rFonts w:ascii="Times New Roman" w:hAnsi="Times New Roman"/>
          <w:b/>
          <w:bCs/>
          <w:kern w:val="16"/>
          <w:sz w:val="24"/>
          <w:szCs w:val="24"/>
        </w:rPr>
        <w:t>”</w:t>
      </w:r>
    </w:p>
    <w:p w:rsidR="00762EA4" w:rsidRDefault="00762EA4" w:rsidP="00762EA4">
      <w:pPr>
        <w:pStyle w:val="BodyA"/>
        <w:suppressAutoHyphens/>
        <w:spacing w:after="0"/>
        <w:rPr>
          <w:rStyle w:val="None"/>
          <w:rFonts w:ascii="Times New Roman" w:eastAsia="Times New Roman" w:hAnsi="Times New Roman" w:cs="Times New Roman"/>
          <w:sz w:val="24"/>
          <w:szCs w:val="24"/>
        </w:rPr>
      </w:pPr>
      <w:r>
        <w:rPr>
          <w:rStyle w:val="None"/>
          <w:rFonts w:ascii="Times New Roman" w:hAnsi="Times New Roman"/>
          <w:sz w:val="24"/>
          <w:szCs w:val="24"/>
        </w:rPr>
        <w:t>2. Piekrī</w:t>
      </w:r>
      <w:r>
        <w:rPr>
          <w:rStyle w:val="None"/>
          <w:rFonts w:ascii="Times New Roman" w:hAnsi="Times New Roman"/>
          <w:sz w:val="24"/>
          <w:szCs w:val="24"/>
          <w:lang w:val="nl-NL"/>
        </w:rPr>
        <w:t>t iepirkuma proced</w:t>
      </w:r>
      <w:r>
        <w:rPr>
          <w:rStyle w:val="None"/>
          <w:rFonts w:ascii="Times New Roman" w:hAnsi="Times New Roman"/>
          <w:sz w:val="24"/>
          <w:szCs w:val="24"/>
        </w:rPr>
        <w:t xml:space="preserve">ūras nolikuma prasībām un garantē </w:t>
      </w:r>
      <w:r>
        <w:rPr>
          <w:rStyle w:val="None"/>
          <w:rFonts w:ascii="Times New Roman" w:hAnsi="Times New Roman"/>
          <w:sz w:val="24"/>
          <w:szCs w:val="24"/>
          <w:lang w:val="it-IT"/>
        </w:rPr>
        <w:t>proced</w:t>
      </w:r>
      <w:r>
        <w:rPr>
          <w:rStyle w:val="None"/>
          <w:rFonts w:ascii="Times New Roman" w:hAnsi="Times New Roman"/>
          <w:sz w:val="24"/>
          <w:szCs w:val="24"/>
        </w:rPr>
        <w:t>ūras Nolikuma prasību izpildi. Iepirkuma Nolikuma nosacījumi ir skaidri un saprotami.</w:t>
      </w:r>
    </w:p>
    <w:p w:rsidR="00762EA4" w:rsidRDefault="00762EA4" w:rsidP="00762EA4">
      <w:pPr>
        <w:pStyle w:val="BodyA"/>
        <w:tabs>
          <w:tab w:val="left" w:pos="362"/>
        </w:tabs>
        <w:suppressAutoHyphen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3. Apliecina, ka nav likvidē</w:t>
      </w:r>
      <w:r>
        <w:rPr>
          <w:rStyle w:val="None"/>
          <w:rFonts w:ascii="Times New Roman" w:hAnsi="Times New Roman"/>
          <w:sz w:val="24"/>
          <w:szCs w:val="24"/>
          <w:lang w:val="en-US"/>
        </w:rPr>
        <w:t>ts, pasludin</w:t>
      </w:r>
      <w:r>
        <w:rPr>
          <w:rStyle w:val="None"/>
          <w:rFonts w:ascii="Times New Roman" w:hAnsi="Times New Roman"/>
          <w:sz w:val="24"/>
          <w:szCs w:val="24"/>
        </w:rPr>
        <w:t>āts par maksātnespējīgu, tā saimnieciskā darbība nav apturē</w:t>
      </w:r>
      <w:r>
        <w:rPr>
          <w:rStyle w:val="None"/>
          <w:rFonts w:ascii="Times New Roman" w:hAnsi="Times New Roman"/>
          <w:sz w:val="24"/>
          <w:szCs w:val="24"/>
          <w:lang w:val="pt-PT"/>
        </w:rPr>
        <w:t>ta vai p</w:t>
      </w:r>
      <w:r>
        <w:rPr>
          <w:rStyle w:val="None"/>
          <w:rFonts w:ascii="Times New Roman" w:hAnsi="Times New Roman"/>
          <w:sz w:val="24"/>
          <w:szCs w:val="24"/>
        </w:rPr>
        <w:t>ārtraukta, vai nav uzsākta tiesvedī</w:t>
      </w:r>
      <w:r>
        <w:rPr>
          <w:rStyle w:val="None"/>
          <w:rFonts w:ascii="Times New Roman" w:hAnsi="Times New Roman"/>
          <w:sz w:val="24"/>
          <w:szCs w:val="24"/>
          <w:lang w:val="en-US"/>
        </w:rPr>
        <w:t>ba par pretendenta bankrotu. Pretendents ar sp</w:t>
      </w:r>
      <w:r>
        <w:rPr>
          <w:rStyle w:val="None"/>
          <w:rFonts w:ascii="Times New Roman" w:hAnsi="Times New Roman"/>
          <w:sz w:val="24"/>
          <w:szCs w:val="24"/>
        </w:rPr>
        <w:t>ēkā stājušos tiesas spriedumu nav atzī</w:t>
      </w:r>
      <w:r>
        <w:rPr>
          <w:rStyle w:val="None"/>
          <w:rFonts w:ascii="Times New Roman" w:hAnsi="Times New Roman"/>
          <w:sz w:val="24"/>
          <w:szCs w:val="24"/>
          <w:lang w:val="fr-FR"/>
        </w:rPr>
        <w:t>ts par vain</w:t>
      </w:r>
      <w:r>
        <w:rPr>
          <w:rStyle w:val="None"/>
          <w:rFonts w:ascii="Times New Roman" w:hAnsi="Times New Roman"/>
          <w:sz w:val="24"/>
          <w:szCs w:val="24"/>
        </w:rPr>
        <w:t>īgu koruptīva rakstura noziedzī</w:t>
      </w:r>
      <w:r>
        <w:rPr>
          <w:rStyle w:val="None"/>
          <w:rFonts w:ascii="Times New Roman" w:hAnsi="Times New Roman"/>
          <w:sz w:val="24"/>
          <w:szCs w:val="24"/>
          <w:lang w:val="es-ES_tradnl"/>
        </w:rPr>
        <w:t>gos nodar</w:t>
      </w:r>
      <w:r>
        <w:rPr>
          <w:rStyle w:val="None"/>
          <w:rFonts w:ascii="Times New Roman" w:hAnsi="Times New Roman"/>
          <w:sz w:val="24"/>
          <w:szCs w:val="24"/>
        </w:rPr>
        <w:t>ī</w:t>
      </w:r>
      <w:r>
        <w:rPr>
          <w:rStyle w:val="None"/>
          <w:rFonts w:ascii="Times New Roman" w:hAnsi="Times New Roman"/>
          <w:sz w:val="24"/>
          <w:szCs w:val="24"/>
          <w:lang w:val="es-ES_tradnl"/>
        </w:rPr>
        <w:t>jumos, kr</w:t>
      </w:r>
      <w:r>
        <w:rPr>
          <w:rStyle w:val="None"/>
          <w:rFonts w:ascii="Times New Roman" w:hAnsi="Times New Roman"/>
          <w:sz w:val="24"/>
          <w:szCs w:val="24"/>
        </w:rPr>
        <w:t>āpnieciskās darbībā</w:t>
      </w:r>
      <w:r>
        <w:rPr>
          <w:rStyle w:val="None"/>
          <w:rFonts w:ascii="Times New Roman" w:hAnsi="Times New Roman"/>
          <w:sz w:val="24"/>
          <w:szCs w:val="24"/>
          <w:lang w:val="pt-PT"/>
        </w:rPr>
        <w:t>s finan</w:t>
      </w:r>
      <w:r>
        <w:rPr>
          <w:rStyle w:val="None"/>
          <w:rFonts w:ascii="Times New Roman" w:hAnsi="Times New Roman"/>
          <w:sz w:val="24"/>
          <w:szCs w:val="24"/>
        </w:rPr>
        <w:t>šu jomā, noziedzī</w:t>
      </w:r>
      <w:r>
        <w:rPr>
          <w:rStyle w:val="None"/>
          <w:rFonts w:ascii="Times New Roman" w:hAnsi="Times New Roman"/>
          <w:sz w:val="24"/>
          <w:szCs w:val="24"/>
          <w:lang w:val="it-IT"/>
        </w:rPr>
        <w:t>gi ieg</w:t>
      </w:r>
      <w:r>
        <w:rPr>
          <w:rStyle w:val="None"/>
          <w:rFonts w:ascii="Times New Roman" w:hAnsi="Times New Roman"/>
          <w:sz w:val="24"/>
          <w:szCs w:val="24"/>
        </w:rPr>
        <w:t>ūtu līdzekļ</w:t>
      </w:r>
      <w:r>
        <w:rPr>
          <w:rStyle w:val="None"/>
          <w:rFonts w:ascii="Times New Roman" w:hAnsi="Times New Roman"/>
          <w:sz w:val="24"/>
          <w:szCs w:val="24"/>
          <w:lang w:val="it-IT"/>
        </w:rPr>
        <w:t>u legaliz</w:t>
      </w:r>
      <w:r>
        <w:rPr>
          <w:rStyle w:val="None"/>
          <w:rFonts w:ascii="Times New Roman" w:hAnsi="Times New Roman"/>
          <w:sz w:val="24"/>
          <w:szCs w:val="24"/>
        </w:rPr>
        <w:t xml:space="preserve">ācijā </w:t>
      </w:r>
      <w:r>
        <w:rPr>
          <w:rStyle w:val="None"/>
          <w:rFonts w:ascii="Times New Roman" w:hAnsi="Times New Roman"/>
          <w:sz w:val="24"/>
          <w:szCs w:val="24"/>
          <w:lang w:val="pt-PT"/>
        </w:rPr>
        <w:t>vai l</w:t>
      </w:r>
      <w:r>
        <w:rPr>
          <w:rStyle w:val="None"/>
          <w:rFonts w:ascii="Times New Roman" w:hAnsi="Times New Roman"/>
          <w:sz w:val="24"/>
          <w:szCs w:val="24"/>
        </w:rPr>
        <w:t xml:space="preserve">īdzdalībā noziedzīgā </w:t>
      </w:r>
      <w:r>
        <w:rPr>
          <w:rStyle w:val="None"/>
          <w:rFonts w:ascii="Times New Roman" w:hAnsi="Times New Roman"/>
          <w:sz w:val="24"/>
          <w:szCs w:val="24"/>
          <w:lang w:val="it-IT"/>
        </w:rPr>
        <w:t>organiz</w:t>
      </w:r>
      <w:r>
        <w:rPr>
          <w:rStyle w:val="None"/>
          <w:rFonts w:ascii="Times New Roman" w:hAnsi="Times New Roman"/>
          <w:sz w:val="24"/>
          <w:szCs w:val="24"/>
        </w:rPr>
        <w:t>ācijā.</w:t>
      </w:r>
    </w:p>
    <w:p w:rsidR="00762EA4" w:rsidRDefault="00762EA4" w:rsidP="00762EA4">
      <w:pPr>
        <w:pStyle w:val="BodyA"/>
        <w:tabs>
          <w:tab w:val="left" w:pos="284"/>
        </w:tabs>
        <w:suppressAutoHyphen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4. Pretendents ap</w:t>
      </w:r>
      <w:r>
        <w:rPr>
          <w:rStyle w:val="None"/>
          <w:rFonts w:ascii="Times New Roman" w:hAnsi="Times New Roman"/>
          <w:sz w:val="24"/>
          <w:szCs w:val="24"/>
        </w:rPr>
        <w:t>ņ</w:t>
      </w:r>
      <w:r>
        <w:rPr>
          <w:rStyle w:val="None"/>
          <w:rFonts w:ascii="Times New Roman" w:hAnsi="Times New Roman"/>
          <w:sz w:val="24"/>
          <w:szCs w:val="24"/>
          <w:lang w:val="pt-PT"/>
        </w:rPr>
        <w:t>emas, iepirkuma l</w:t>
      </w:r>
      <w:r>
        <w:rPr>
          <w:rStyle w:val="None"/>
          <w:rFonts w:ascii="Times New Roman" w:hAnsi="Times New Roman"/>
          <w:sz w:val="24"/>
          <w:szCs w:val="24"/>
        </w:rPr>
        <w:t>ī</w:t>
      </w:r>
      <w:r>
        <w:rPr>
          <w:rStyle w:val="None"/>
          <w:rFonts w:ascii="Times New Roman" w:hAnsi="Times New Roman"/>
          <w:sz w:val="24"/>
          <w:szCs w:val="24"/>
          <w:lang w:val="pt-PT"/>
        </w:rPr>
        <w:t>guma sl</w:t>
      </w:r>
      <w:r>
        <w:rPr>
          <w:rStyle w:val="None"/>
          <w:rFonts w:ascii="Times New Roman" w:hAnsi="Times New Roman"/>
          <w:sz w:val="24"/>
          <w:szCs w:val="24"/>
        </w:rPr>
        <w:t>ēgš</w:t>
      </w:r>
      <w:r>
        <w:rPr>
          <w:rStyle w:val="None"/>
          <w:rFonts w:ascii="Times New Roman" w:hAnsi="Times New Roman"/>
          <w:sz w:val="24"/>
          <w:szCs w:val="24"/>
          <w:lang w:val="es-ES_tradnl"/>
        </w:rPr>
        <w:t>anas gad</w:t>
      </w:r>
      <w:r>
        <w:rPr>
          <w:rStyle w:val="None"/>
          <w:rFonts w:ascii="Times New Roman" w:hAnsi="Times New Roman"/>
          <w:sz w:val="24"/>
          <w:szCs w:val="24"/>
        </w:rPr>
        <w:t>ījumā</w:t>
      </w:r>
      <w:r>
        <w:rPr>
          <w:rStyle w:val="None"/>
          <w:rFonts w:ascii="Times New Roman" w:hAnsi="Times New Roman"/>
          <w:sz w:val="24"/>
          <w:szCs w:val="24"/>
          <w:lang w:val="da-DK"/>
        </w:rPr>
        <w:t>, pild</w:t>
      </w:r>
      <w:r>
        <w:rPr>
          <w:rStyle w:val="None"/>
          <w:rFonts w:ascii="Times New Roman" w:hAnsi="Times New Roman"/>
          <w:sz w:val="24"/>
          <w:szCs w:val="24"/>
        </w:rPr>
        <w:t xml:space="preserve">īt visus Nolikumā (t.sk. tehniskajā </w:t>
      </w:r>
      <w:r>
        <w:rPr>
          <w:rStyle w:val="None"/>
          <w:rFonts w:ascii="Times New Roman" w:hAnsi="Times New Roman"/>
          <w:sz w:val="24"/>
          <w:szCs w:val="24"/>
          <w:lang w:val="da-DK"/>
        </w:rPr>
        <w:t>specifik</w:t>
      </w:r>
      <w:r>
        <w:rPr>
          <w:rStyle w:val="None"/>
          <w:rFonts w:ascii="Times New Roman" w:hAnsi="Times New Roman"/>
          <w:sz w:val="24"/>
          <w:szCs w:val="24"/>
        </w:rPr>
        <w:t>ācijā) izklāstī</w:t>
      </w:r>
      <w:r>
        <w:rPr>
          <w:rStyle w:val="None"/>
          <w:rFonts w:ascii="Times New Roman" w:hAnsi="Times New Roman"/>
          <w:sz w:val="24"/>
          <w:szCs w:val="24"/>
          <w:lang w:val="pt-PT"/>
        </w:rPr>
        <w:t>tos nosac</w:t>
      </w:r>
      <w:r>
        <w:rPr>
          <w:rStyle w:val="None"/>
          <w:rFonts w:ascii="Times New Roman" w:hAnsi="Times New Roman"/>
          <w:sz w:val="24"/>
          <w:szCs w:val="24"/>
        </w:rPr>
        <w:t>ījumus.</w:t>
      </w:r>
    </w:p>
    <w:p w:rsidR="00762EA4" w:rsidRDefault="00762EA4" w:rsidP="00762EA4">
      <w:pPr>
        <w:pStyle w:val="BodyA"/>
        <w:tabs>
          <w:tab w:val="left" w:pos="362"/>
        </w:tabs>
        <w:suppressAutoHyphen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s-ES_tradnl"/>
        </w:rPr>
        <w:t>5. Pretendents apliecina, ka visas pied</w:t>
      </w:r>
      <w:r>
        <w:rPr>
          <w:rStyle w:val="None"/>
          <w:rFonts w:ascii="Times New Roman" w:hAnsi="Times New Roman"/>
          <w:sz w:val="24"/>
          <w:szCs w:val="24"/>
        </w:rPr>
        <w:t xml:space="preserve">āvājumam pievienotās dokumentu kopijas ir pareizas, iesniegtā </w:t>
      </w:r>
      <w:r>
        <w:rPr>
          <w:rStyle w:val="None"/>
          <w:rFonts w:ascii="Times New Roman" w:hAnsi="Times New Roman"/>
          <w:sz w:val="24"/>
          <w:szCs w:val="24"/>
          <w:lang w:val="en-US"/>
        </w:rPr>
        <w:t>inform</w:t>
      </w:r>
      <w:r>
        <w:rPr>
          <w:rStyle w:val="None"/>
          <w:rFonts w:ascii="Times New Roman" w:hAnsi="Times New Roman"/>
          <w:sz w:val="24"/>
          <w:szCs w:val="24"/>
        </w:rPr>
        <w:t>ācija ir patiesa un Pretendents neliks šķēršļ</w:t>
      </w:r>
      <w:r>
        <w:rPr>
          <w:rStyle w:val="None"/>
          <w:rFonts w:ascii="Times New Roman" w:hAnsi="Times New Roman"/>
          <w:sz w:val="24"/>
          <w:szCs w:val="24"/>
          <w:lang w:val="en-US"/>
        </w:rPr>
        <w:t>us inform</w:t>
      </w:r>
      <w:r>
        <w:rPr>
          <w:rStyle w:val="None"/>
          <w:rFonts w:ascii="Times New Roman" w:hAnsi="Times New Roman"/>
          <w:sz w:val="24"/>
          <w:szCs w:val="24"/>
        </w:rPr>
        <w:t>ācijas pārbaudei.</w:t>
      </w:r>
    </w:p>
    <w:p w:rsidR="00762EA4" w:rsidRDefault="00762EA4" w:rsidP="00762EA4">
      <w:pPr>
        <w:pStyle w:val="Header"/>
        <w:suppressAutoHyphens/>
        <w:spacing w:before="20" w:line="276"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Pretendents apliecina, ka augst</w:t>
      </w:r>
      <w:r>
        <w:rPr>
          <w:rStyle w:val="None"/>
          <w:rFonts w:ascii="Times New Roman" w:hAnsi="Times New Roman"/>
          <w:sz w:val="24"/>
          <w:szCs w:val="24"/>
        </w:rPr>
        <w:t>ā</w:t>
      </w:r>
      <w:r>
        <w:rPr>
          <w:rStyle w:val="None"/>
          <w:rFonts w:ascii="Times New Roman" w:hAnsi="Times New Roman"/>
          <w:sz w:val="24"/>
          <w:szCs w:val="24"/>
          <w:lang w:val="nl-NL"/>
        </w:rPr>
        <w:t>k nor</w:t>
      </w:r>
      <w:r>
        <w:rPr>
          <w:rStyle w:val="None"/>
          <w:rFonts w:ascii="Times New Roman" w:hAnsi="Times New Roman"/>
          <w:sz w:val="24"/>
          <w:szCs w:val="24"/>
        </w:rPr>
        <w:t xml:space="preserve">ādītā </w:t>
      </w:r>
      <w:r>
        <w:rPr>
          <w:rStyle w:val="None"/>
          <w:rFonts w:ascii="Times New Roman" w:hAnsi="Times New Roman"/>
          <w:b/>
          <w:bCs/>
          <w:sz w:val="24"/>
          <w:szCs w:val="24"/>
          <w:lang w:val="sv-SE"/>
        </w:rPr>
        <w:t>elektronisk</w:t>
      </w:r>
      <w:r>
        <w:rPr>
          <w:rStyle w:val="None"/>
          <w:rFonts w:ascii="Times New Roman" w:hAnsi="Times New Roman"/>
          <w:b/>
          <w:bCs/>
          <w:sz w:val="24"/>
          <w:szCs w:val="24"/>
        </w:rPr>
        <w:t xml:space="preserve">ā </w:t>
      </w:r>
      <w:r>
        <w:rPr>
          <w:rStyle w:val="None"/>
          <w:rFonts w:ascii="Times New Roman" w:hAnsi="Times New Roman"/>
          <w:b/>
          <w:bCs/>
          <w:sz w:val="24"/>
          <w:szCs w:val="24"/>
          <w:lang w:val="es-ES_tradnl"/>
        </w:rPr>
        <w:t>pasta</w:t>
      </w:r>
      <w:r>
        <w:rPr>
          <w:rStyle w:val="None"/>
          <w:rFonts w:ascii="Times New Roman" w:hAnsi="Times New Roman"/>
          <w:sz w:val="24"/>
          <w:szCs w:val="24"/>
        </w:rPr>
        <w:t xml:space="preserve"> adrese tiks izmantoti sarakstes nodrošināš</w:t>
      </w:r>
      <w:r>
        <w:rPr>
          <w:rStyle w:val="None"/>
          <w:rFonts w:ascii="Times New Roman" w:hAnsi="Times New Roman"/>
          <w:sz w:val="24"/>
          <w:szCs w:val="24"/>
          <w:lang w:val="nl-NL"/>
        </w:rPr>
        <w:t>anai Iepirkuma ietvaros.</w:t>
      </w:r>
      <w:r>
        <w:rPr>
          <w:rStyle w:val="None"/>
          <w:rFonts w:ascii="Times New Roman" w:hAnsi="Times New Roman"/>
          <w:sz w:val="24"/>
          <w:szCs w:val="24"/>
          <w:lang w:val="nl-NL"/>
        </w:rPr>
        <w:tab/>
      </w:r>
      <w:r>
        <w:rPr>
          <w:rStyle w:val="None"/>
          <w:rFonts w:ascii="Times New Roman" w:hAnsi="Times New Roman"/>
          <w:sz w:val="24"/>
          <w:szCs w:val="24"/>
          <w:lang w:val="nl-NL"/>
        </w:rPr>
        <w:tab/>
      </w:r>
    </w:p>
    <w:p w:rsidR="00762EA4" w:rsidRDefault="00762EA4" w:rsidP="00762EA4">
      <w:pPr>
        <w:pStyle w:val="BodyA"/>
        <w:suppressAutoHyphens/>
        <w:spacing w:after="0"/>
        <w:jc w:val="both"/>
        <w:rPr>
          <w:rStyle w:val="None"/>
          <w:rFonts w:ascii="Times New Roman" w:hAnsi="Times New Roman"/>
          <w:sz w:val="24"/>
          <w:szCs w:val="24"/>
          <w:lang w:val="en-US"/>
        </w:rPr>
      </w:pPr>
      <w:r>
        <w:rPr>
          <w:rStyle w:val="None"/>
          <w:rFonts w:ascii="Times New Roman" w:hAnsi="Times New Roman"/>
          <w:sz w:val="24"/>
          <w:szCs w:val="24"/>
          <w:lang w:val="en-US"/>
        </w:rPr>
        <w:t>2018. gada ___</w:t>
      </w:r>
      <w:proofErr w:type="gramStart"/>
      <w:r>
        <w:rPr>
          <w:rStyle w:val="None"/>
          <w:rFonts w:ascii="Times New Roman" w:hAnsi="Times New Roman"/>
          <w:sz w:val="24"/>
          <w:szCs w:val="24"/>
          <w:lang w:val="en-US"/>
        </w:rPr>
        <w:t>_._</w:t>
      </w:r>
      <w:proofErr w:type="gramEnd"/>
      <w:r>
        <w:rPr>
          <w:rStyle w:val="None"/>
          <w:rFonts w:ascii="Times New Roman" w:hAnsi="Times New Roman"/>
          <w:sz w:val="24"/>
          <w:szCs w:val="24"/>
          <w:lang w:val="en-US"/>
        </w:rPr>
        <w:t>________________</w:t>
      </w:r>
    </w:p>
    <w:p w:rsidR="00762EA4" w:rsidRDefault="00762EA4" w:rsidP="00762EA4">
      <w:pPr>
        <w:pStyle w:val="BodyA"/>
        <w:suppressAutoHyphens/>
        <w:spacing w:after="0"/>
        <w:jc w:val="both"/>
        <w:rPr>
          <w:rStyle w:val="None"/>
          <w:rFonts w:ascii="Times New Roman" w:eastAsia="Times New Roman" w:hAnsi="Times New Roman" w:cs="Times New Roman"/>
          <w:sz w:val="24"/>
          <w:szCs w:val="24"/>
        </w:rPr>
      </w:pPr>
    </w:p>
    <w:tbl>
      <w:tblPr>
        <w:tblW w:w="90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8"/>
        <w:gridCol w:w="286"/>
        <w:gridCol w:w="3032"/>
        <w:gridCol w:w="285"/>
        <w:gridCol w:w="2618"/>
      </w:tblGrid>
      <w:tr w:rsidR="00762EA4" w:rsidTr="00BC2B01">
        <w:trPr>
          <w:trHeight w:val="585"/>
        </w:trPr>
        <w:tc>
          <w:tcPr>
            <w:tcW w:w="2848"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sz w:val="24"/>
                <w:szCs w:val="24"/>
              </w:rPr>
              <w:t>amats</w:t>
            </w:r>
          </w:p>
        </w:tc>
        <w:tc>
          <w:tcPr>
            <w:tcW w:w="286"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3032"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sz w:val="24"/>
                <w:szCs w:val="24"/>
                <w:lang w:val="nl-NL"/>
              </w:rPr>
              <w:t>Paraksts</w:t>
            </w:r>
          </w:p>
        </w:tc>
        <w:tc>
          <w:tcPr>
            <w:tcW w:w="285"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618"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sz w:val="24"/>
                <w:szCs w:val="24"/>
              </w:rPr>
              <w:t>paraksta atš</w:t>
            </w:r>
            <w:r>
              <w:rPr>
                <w:rStyle w:val="None"/>
                <w:rFonts w:ascii="Times New Roman" w:hAnsi="Times New Roman"/>
                <w:sz w:val="24"/>
                <w:szCs w:val="24"/>
                <w:lang w:val="sv-SE"/>
              </w:rPr>
              <w:t>ifr</w:t>
            </w:r>
            <w:r>
              <w:rPr>
                <w:rStyle w:val="None"/>
                <w:rFonts w:ascii="Times New Roman" w:hAnsi="Times New Roman"/>
                <w:sz w:val="24"/>
                <w:szCs w:val="24"/>
              </w:rPr>
              <w:t>ējums</w:t>
            </w:r>
          </w:p>
        </w:tc>
      </w:tr>
    </w:tbl>
    <w:p w:rsidR="00762EA4" w:rsidRDefault="00762EA4" w:rsidP="00762EA4">
      <w:pPr>
        <w:pStyle w:val="BodyA"/>
        <w:widowControl w:val="0"/>
        <w:suppressAutoHyphens/>
        <w:spacing w:after="0" w:line="240" w:lineRule="auto"/>
        <w:ind w:left="108" w:hanging="108"/>
        <w:rPr>
          <w:rFonts w:ascii="Times New Roman" w:eastAsia="Times New Roman" w:hAnsi="Times New Roman" w:cs="Times New Roman"/>
          <w:sz w:val="24"/>
          <w:szCs w:val="24"/>
        </w:rPr>
      </w:pPr>
    </w:p>
    <w:p w:rsidR="00762EA4" w:rsidRDefault="00762EA4" w:rsidP="00762EA4">
      <w:pPr>
        <w:rPr>
          <w:rStyle w:val="None"/>
          <w:rFonts w:eastAsia="Calibri" w:cs="Calibri"/>
          <w:b/>
          <w:bCs/>
          <w:color w:val="000000"/>
          <w:sz w:val="22"/>
          <w:szCs w:val="22"/>
          <w:u w:color="000000"/>
          <w:lang w:val="lv-LV" w:eastAsia="lv-LV"/>
        </w:rPr>
      </w:pPr>
      <w:r>
        <w:rPr>
          <w:rStyle w:val="None"/>
          <w:b/>
          <w:bCs/>
        </w:rPr>
        <w:br w:type="page"/>
      </w:r>
    </w:p>
    <w:p w:rsidR="00762EA4" w:rsidRDefault="00762EA4" w:rsidP="00762EA4">
      <w:pPr>
        <w:pStyle w:val="BodyA"/>
        <w:suppressAutoHyphens/>
        <w:spacing w:after="0"/>
        <w:jc w:val="right"/>
        <w:rPr>
          <w:rStyle w:val="None"/>
          <w:rFonts w:ascii="Times New Roman" w:eastAsia="Times New Roman" w:hAnsi="Times New Roman" w:cs="Times New Roman"/>
          <w:b/>
          <w:bCs/>
        </w:rPr>
      </w:pPr>
      <w:r>
        <w:rPr>
          <w:rStyle w:val="None"/>
          <w:rFonts w:ascii="Times New Roman" w:hAnsi="Times New Roman"/>
          <w:b/>
          <w:bCs/>
        </w:rPr>
        <w:lastRenderedPageBreak/>
        <w:t>2. pielikums</w:t>
      </w:r>
    </w:p>
    <w:p w:rsidR="00762EA4" w:rsidRDefault="00762EA4" w:rsidP="00762EA4">
      <w:pPr>
        <w:pStyle w:val="BodyA"/>
        <w:suppressAutoHyphens/>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Tehniskā </w:t>
      </w:r>
      <w:r>
        <w:rPr>
          <w:rStyle w:val="None"/>
          <w:rFonts w:ascii="Times New Roman" w:hAnsi="Times New Roman"/>
          <w:b/>
          <w:bCs/>
          <w:sz w:val="24"/>
          <w:szCs w:val="24"/>
          <w:lang w:val="da-DK"/>
        </w:rPr>
        <w:t>specifik</w:t>
      </w:r>
      <w:r>
        <w:rPr>
          <w:rStyle w:val="None"/>
          <w:rFonts w:ascii="Times New Roman" w:hAnsi="Times New Roman"/>
          <w:b/>
          <w:bCs/>
          <w:sz w:val="24"/>
          <w:szCs w:val="24"/>
        </w:rPr>
        <w:t>ācija – Tehniskais piedāvājums</w:t>
      </w:r>
    </w:p>
    <w:p w:rsidR="00762EA4" w:rsidRDefault="00762EA4" w:rsidP="00762EA4">
      <w:pPr>
        <w:pStyle w:val="ListParagraph"/>
        <w:suppressAutoHyphens/>
        <w:jc w:val="center"/>
        <w:rPr>
          <w:rStyle w:val="None"/>
          <w:rFonts w:ascii="Times New Roman" w:eastAsia="Times New Roman" w:hAnsi="Times New Roman" w:cs="Times New Roman"/>
          <w:b/>
          <w:bCs/>
          <w:color w:val="FF0000"/>
          <w:kern w:val="16"/>
          <w:sz w:val="24"/>
          <w:szCs w:val="24"/>
          <w:u w:color="FF0000"/>
        </w:rPr>
      </w:pPr>
      <w:r>
        <w:rPr>
          <w:rStyle w:val="None"/>
          <w:rFonts w:ascii="Times New Roman" w:hAnsi="Times New Roman"/>
          <w:b/>
          <w:bCs/>
          <w:kern w:val="16"/>
          <w:sz w:val="24"/>
          <w:szCs w:val="24"/>
        </w:rPr>
        <w:t>„</w:t>
      </w:r>
      <w:r>
        <w:t xml:space="preserve"> </w:t>
      </w:r>
      <w:r>
        <w:rPr>
          <w:rStyle w:val="None"/>
          <w:rFonts w:ascii="Times New Roman" w:hAnsi="Times New Roman"/>
          <w:b/>
          <w:bCs/>
          <w:sz w:val="24"/>
          <w:szCs w:val="24"/>
        </w:rPr>
        <w:t>Profesionālās apskaņošanas</w:t>
      </w:r>
      <w:r>
        <w:rPr>
          <w:rStyle w:val="None"/>
          <w:rFonts w:ascii="Times New Roman" w:hAnsi="Times New Roman"/>
          <w:b/>
          <w:bCs/>
          <w:sz w:val="24"/>
          <w:szCs w:val="24"/>
          <w:lang w:val="es-ES_tradnl"/>
        </w:rPr>
        <w:t xml:space="preserve"> </w:t>
      </w:r>
      <w:r>
        <w:rPr>
          <w:rStyle w:val="None"/>
          <w:rFonts w:ascii="Times New Roman" w:hAnsi="Times New Roman"/>
          <w:b/>
          <w:bCs/>
          <w:sz w:val="24"/>
          <w:szCs w:val="24"/>
        </w:rPr>
        <w:t>tehnikas iegā</w:t>
      </w:r>
      <w:r>
        <w:rPr>
          <w:rStyle w:val="None"/>
          <w:rFonts w:ascii="Times New Roman" w:hAnsi="Times New Roman"/>
          <w:b/>
          <w:bCs/>
          <w:sz w:val="24"/>
          <w:szCs w:val="24"/>
          <w:lang w:val="pt-PT"/>
        </w:rPr>
        <w:t>de L</w:t>
      </w:r>
      <w:r>
        <w:rPr>
          <w:rStyle w:val="None"/>
          <w:rFonts w:ascii="Times New Roman" w:hAnsi="Times New Roman"/>
          <w:b/>
          <w:bCs/>
          <w:sz w:val="24"/>
          <w:szCs w:val="24"/>
        </w:rPr>
        <w:t>KA Latvijas Kultūras koledžas vajadzībām</w:t>
      </w:r>
      <w:r>
        <w:rPr>
          <w:rStyle w:val="None"/>
          <w:rFonts w:ascii="Times New Roman" w:hAnsi="Times New Roman"/>
          <w:b/>
          <w:bCs/>
          <w:kern w:val="16"/>
          <w:sz w:val="24"/>
          <w:szCs w:val="24"/>
        </w:rPr>
        <w:t>”</w:t>
      </w:r>
    </w:p>
    <w:p w:rsidR="00762EA4" w:rsidRDefault="00762EA4" w:rsidP="00762EA4">
      <w:pPr>
        <w:pStyle w:val="ListParagraph"/>
        <w:suppressAutoHyphens/>
        <w:jc w:val="center"/>
        <w:rPr>
          <w:rFonts w:ascii="Times New Roman" w:eastAsia="Times New Roman" w:hAnsi="Times New Roman" w:cs="Times New Roman"/>
          <w:sz w:val="24"/>
          <w:szCs w:val="24"/>
        </w:rPr>
      </w:pPr>
      <w:r>
        <w:rPr>
          <w:rStyle w:val="None"/>
          <w:rFonts w:ascii="Times New Roman" w:hAnsi="Times New Roman"/>
          <w:sz w:val="24"/>
          <w:szCs w:val="24"/>
          <w:lang w:val="it-IT"/>
        </w:rPr>
        <w:t>Visp</w:t>
      </w:r>
      <w:r>
        <w:rPr>
          <w:rFonts w:ascii="Times New Roman" w:hAnsi="Times New Roman"/>
          <w:sz w:val="24"/>
          <w:szCs w:val="24"/>
        </w:rPr>
        <w:t>ārīgās prasības</w:t>
      </w:r>
    </w:p>
    <w:p w:rsidR="00762EA4" w:rsidRDefault="00762EA4" w:rsidP="00762EA4">
      <w:pPr>
        <w:pStyle w:val="BodyA"/>
        <w:suppressAutoHyphens/>
        <w:spacing w:after="0"/>
        <w:jc w:val="both"/>
        <w:rPr>
          <w:rFonts w:ascii="Times New Roman" w:eastAsia="Times New Roman" w:hAnsi="Times New Roman" w:cs="Times New Roman"/>
          <w:sz w:val="24"/>
          <w:szCs w:val="24"/>
        </w:rPr>
      </w:pPr>
      <w:r>
        <w:rPr>
          <w:rStyle w:val="None"/>
          <w:rFonts w:ascii="Times New Roman" w:hAnsi="Times New Roman"/>
          <w:sz w:val="24"/>
          <w:szCs w:val="24"/>
          <w:lang w:val="en-US"/>
        </w:rPr>
        <w:t xml:space="preserve">Pretendents </w:t>
      </w:r>
      <w:r>
        <w:rPr>
          <w:rStyle w:val="None"/>
          <w:rFonts w:ascii="Times New Roman" w:hAnsi="Times New Roman"/>
          <w:sz w:val="24"/>
          <w:szCs w:val="24"/>
          <w:lang w:val="it-IT"/>
        </w:rPr>
        <w:t>pied</w:t>
      </w:r>
      <w:r>
        <w:rPr>
          <w:rFonts w:ascii="Times New Roman" w:hAnsi="Times New Roman"/>
          <w:sz w:val="24"/>
          <w:szCs w:val="24"/>
        </w:rPr>
        <w:t xml:space="preserve">āvā </w:t>
      </w:r>
      <w:r>
        <w:rPr>
          <w:rStyle w:val="None"/>
          <w:rFonts w:ascii="Times New Roman" w:hAnsi="Times New Roman"/>
          <w:sz w:val="24"/>
          <w:szCs w:val="24"/>
          <w:lang w:val="fr-FR"/>
        </w:rPr>
        <w:t>un ap</w:t>
      </w:r>
      <w:r>
        <w:rPr>
          <w:rFonts w:ascii="Times New Roman" w:hAnsi="Times New Roman"/>
          <w:sz w:val="24"/>
          <w:szCs w:val="24"/>
        </w:rPr>
        <w:t>ņ</w:t>
      </w:r>
      <w:r>
        <w:rPr>
          <w:rStyle w:val="None"/>
          <w:rFonts w:ascii="Times New Roman" w:hAnsi="Times New Roman"/>
          <w:sz w:val="24"/>
          <w:szCs w:val="24"/>
          <w:lang w:val="nl-NL"/>
        </w:rPr>
        <w:t xml:space="preserve">emas veikt iepirkuma </w:t>
      </w:r>
      <w:r>
        <w:rPr>
          <w:rStyle w:val="None"/>
          <w:rFonts w:ascii="Times New Roman" w:hAnsi="Times New Roman"/>
          <w:b/>
          <w:bCs/>
          <w:sz w:val="24"/>
          <w:szCs w:val="24"/>
        </w:rPr>
        <w:t xml:space="preserve">„ </w:t>
      </w:r>
      <w:r>
        <w:rPr>
          <w:rStyle w:val="None"/>
          <w:rFonts w:ascii="Times New Roman" w:hAnsi="Times New Roman"/>
          <w:b/>
          <w:bCs/>
          <w:kern w:val="16"/>
          <w:sz w:val="24"/>
          <w:szCs w:val="24"/>
        </w:rPr>
        <w:t>Skaņas</w:t>
      </w:r>
      <w:r>
        <w:rPr>
          <w:rStyle w:val="None"/>
          <w:rFonts w:ascii="Times New Roman" w:hAnsi="Times New Roman"/>
          <w:b/>
          <w:bCs/>
          <w:sz w:val="24"/>
          <w:szCs w:val="24"/>
          <w:lang w:val="es-ES_tradnl"/>
        </w:rPr>
        <w:t xml:space="preserve">  </w:t>
      </w:r>
      <w:r>
        <w:rPr>
          <w:rStyle w:val="None"/>
          <w:rFonts w:ascii="Times New Roman" w:hAnsi="Times New Roman"/>
          <w:b/>
          <w:bCs/>
          <w:sz w:val="24"/>
          <w:szCs w:val="24"/>
        </w:rPr>
        <w:t xml:space="preserve"> tehnikas iegāde LKA Latvijas Kultū</w:t>
      </w:r>
      <w:r>
        <w:rPr>
          <w:rStyle w:val="None"/>
          <w:rFonts w:ascii="Times New Roman" w:hAnsi="Times New Roman"/>
          <w:b/>
          <w:bCs/>
          <w:sz w:val="24"/>
          <w:szCs w:val="24"/>
          <w:lang w:val="sv-SE"/>
        </w:rPr>
        <w:t xml:space="preserve">ras </w:t>
      </w:r>
      <w:r>
        <w:rPr>
          <w:rStyle w:val="None"/>
          <w:rFonts w:ascii="Times New Roman" w:hAnsi="Times New Roman"/>
          <w:b/>
          <w:bCs/>
          <w:sz w:val="24"/>
          <w:szCs w:val="24"/>
        </w:rPr>
        <w:t>koledžas vajadzībām” (</w:t>
      </w:r>
      <w:r>
        <w:rPr>
          <w:rFonts w:ascii="Times New Roman" w:hAnsi="Times New Roman"/>
          <w:sz w:val="24"/>
          <w:szCs w:val="24"/>
        </w:rPr>
        <w:t xml:space="preserve">iepirkuma identifikācijas Nr.: </w:t>
      </w:r>
      <w:r>
        <w:rPr>
          <w:rStyle w:val="None"/>
          <w:rFonts w:ascii="Times New Roman" w:hAnsi="Times New Roman"/>
          <w:b/>
          <w:bCs/>
          <w:sz w:val="24"/>
          <w:szCs w:val="24"/>
          <w:u w:color="FF0000"/>
        </w:rPr>
        <w:t>07-11-8-1</w:t>
      </w:r>
      <w:proofErr w:type="gramStart"/>
      <w:r>
        <w:rPr>
          <w:rStyle w:val="None"/>
          <w:rFonts w:ascii="Times New Roman" w:hAnsi="Times New Roman"/>
          <w:b/>
          <w:bCs/>
          <w:sz w:val="24"/>
          <w:szCs w:val="24"/>
          <w:u w:color="FF0000"/>
        </w:rPr>
        <w:t xml:space="preserve">) </w:t>
      </w:r>
      <w:r>
        <w:rPr>
          <w:rStyle w:val="None"/>
          <w:rFonts w:ascii="Times New Roman" w:hAnsi="Times New Roman"/>
          <w:b/>
          <w:bCs/>
          <w:color w:val="FF0000"/>
          <w:sz w:val="24"/>
          <w:szCs w:val="24"/>
          <w:u w:color="FF0000"/>
        </w:rPr>
        <w:t> </w:t>
      </w:r>
      <w:r>
        <w:rPr>
          <w:rFonts w:ascii="Times New Roman" w:hAnsi="Times New Roman"/>
          <w:sz w:val="24"/>
          <w:szCs w:val="24"/>
        </w:rPr>
        <w:t>nolikuma</w:t>
      </w:r>
      <w:proofErr w:type="gramEnd"/>
      <w:r>
        <w:rPr>
          <w:rFonts w:ascii="Times New Roman" w:hAnsi="Times New Roman"/>
          <w:sz w:val="24"/>
          <w:szCs w:val="24"/>
        </w:rPr>
        <w:t xml:space="preserve"> 8.3. punktā noteiktā iepirkuma priekšmeta izpildi – skaņu tehnikas piegādi, un garantijas nodrošināšanu, saskaņā ar šādu tehnisko specifikāciju:</w:t>
      </w:r>
    </w:p>
    <w:p w:rsidR="00762EA4" w:rsidRDefault="00762EA4" w:rsidP="00762EA4">
      <w:pPr>
        <w:pStyle w:val="BodyA"/>
        <w:suppressAutoHyphens/>
        <w:spacing w:after="0"/>
        <w:jc w:val="both"/>
        <w:rPr>
          <w:rFonts w:ascii="Times New Roman" w:eastAsia="Times New Roman" w:hAnsi="Times New Roman" w:cs="Times New Roman"/>
        </w:rPr>
      </w:pPr>
    </w:p>
    <w:p w:rsidR="00762EA4" w:rsidRDefault="00762EA4" w:rsidP="00762EA4">
      <w:pPr>
        <w:pStyle w:val="ListParagraph"/>
        <w:widowControl w:val="0"/>
        <w:numPr>
          <w:ilvl w:val="0"/>
          <w:numId w:val="2"/>
        </w:numPr>
        <w:suppressAutoHyphens/>
        <w:spacing w:after="0" w:line="240" w:lineRule="auto"/>
        <w:jc w:val="both"/>
        <w:rPr>
          <w:rFonts w:ascii="Times New Roman" w:hAnsi="Times New Roman"/>
          <w:b/>
          <w:bCs/>
          <w:lang w:val="pt-PT"/>
        </w:rPr>
      </w:pPr>
      <w:r>
        <w:rPr>
          <w:rStyle w:val="None"/>
          <w:rFonts w:ascii="Times New Roman" w:hAnsi="Times New Roman"/>
          <w:b/>
          <w:bCs/>
          <w:lang w:val="pt-PT"/>
        </w:rPr>
        <w:t>Pretendentam ir j</w:t>
      </w:r>
      <w:r>
        <w:rPr>
          <w:rFonts w:ascii="Times New Roman" w:hAnsi="Times New Roman"/>
          <w:b/>
          <w:bCs/>
        </w:rPr>
        <w:t>āveic sekojoša apskaņošanas</w:t>
      </w:r>
      <w:r>
        <w:rPr>
          <w:rStyle w:val="None"/>
          <w:rFonts w:ascii="Times New Roman" w:hAnsi="Times New Roman"/>
          <w:b/>
          <w:bCs/>
          <w:lang w:val="sv-SE"/>
        </w:rPr>
        <w:t xml:space="preserve"> </w:t>
      </w:r>
      <w:r>
        <w:rPr>
          <w:rFonts w:ascii="Times New Roman" w:hAnsi="Times New Roman"/>
          <w:b/>
          <w:bCs/>
        </w:rPr>
        <w:t>tehnikas piegāde:</w:t>
      </w:r>
    </w:p>
    <w:tbl>
      <w:tblPr>
        <w:tblW w:w="10478" w:type="dxa"/>
        <w:tblInd w:w="-431" w:type="dxa"/>
        <w:tblLayout w:type="fixed"/>
        <w:tblLook w:val="04A0" w:firstRow="1" w:lastRow="0" w:firstColumn="1" w:lastColumn="0" w:noHBand="0" w:noVBand="1"/>
      </w:tblPr>
      <w:tblGrid>
        <w:gridCol w:w="568"/>
        <w:gridCol w:w="1843"/>
        <w:gridCol w:w="1134"/>
        <w:gridCol w:w="1276"/>
        <w:gridCol w:w="2548"/>
        <w:gridCol w:w="1080"/>
        <w:gridCol w:w="2029"/>
      </w:tblGrid>
      <w:tr w:rsidR="00762EA4" w:rsidRPr="005B389D" w:rsidTr="00BC2B0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62EA4" w:rsidRPr="00392C62" w:rsidRDefault="00762EA4" w:rsidP="00BC2B01">
            <w:pPr>
              <w:rPr>
                <w:rFonts w:ascii="Arial" w:eastAsia="Times New Roman" w:hAnsi="Arial" w:cs="Arial"/>
                <w:b/>
                <w:bCs/>
                <w:sz w:val="20"/>
                <w:szCs w:val="20"/>
              </w:rPr>
            </w:pPr>
            <w:r w:rsidRPr="00392C62">
              <w:rPr>
                <w:rFonts w:ascii="Arial" w:eastAsia="Times New Roman" w:hAnsi="Arial" w:cs="Arial"/>
                <w:b/>
                <w:bCs/>
                <w:sz w:val="20"/>
                <w:szCs w:val="20"/>
              </w:rPr>
              <w:t>Nr.</w:t>
            </w:r>
          </w:p>
        </w:tc>
        <w:tc>
          <w:tcPr>
            <w:tcW w:w="1843" w:type="dxa"/>
            <w:tcBorders>
              <w:top w:val="single" w:sz="4" w:space="0" w:color="auto"/>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b/>
                <w:bCs/>
                <w:color w:val="000000"/>
                <w:sz w:val="20"/>
                <w:szCs w:val="20"/>
                <w:lang w:eastAsia="lv-LV"/>
              </w:rPr>
            </w:pPr>
            <w:r w:rsidRPr="005B389D">
              <w:rPr>
                <w:rFonts w:ascii="Arial" w:eastAsia="Times New Roman" w:hAnsi="Arial" w:cs="Arial"/>
                <w:b/>
                <w:bCs/>
                <w:color w:val="000000"/>
                <w:sz w:val="20"/>
                <w:szCs w:val="20"/>
                <w:lang w:eastAsia="lv-LV"/>
              </w:rPr>
              <w:t>Nosaukums</w:t>
            </w:r>
          </w:p>
        </w:tc>
        <w:tc>
          <w:tcPr>
            <w:tcW w:w="1134" w:type="dxa"/>
            <w:tcBorders>
              <w:top w:val="single" w:sz="4" w:space="0" w:color="auto"/>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b/>
                <w:bCs/>
                <w:color w:val="000000"/>
                <w:sz w:val="20"/>
                <w:szCs w:val="20"/>
                <w:lang w:eastAsia="lv-LV"/>
              </w:rPr>
            </w:pPr>
            <w:r w:rsidRPr="005B389D">
              <w:rPr>
                <w:rFonts w:ascii="Arial" w:eastAsia="Times New Roman" w:hAnsi="Arial" w:cs="Arial"/>
                <w:b/>
                <w:bCs/>
                <w:color w:val="000000"/>
                <w:sz w:val="20"/>
                <w:szCs w:val="20"/>
                <w:lang w:eastAsia="lv-LV"/>
              </w:rPr>
              <w:t>Mērv</w:t>
            </w:r>
          </w:p>
        </w:tc>
        <w:tc>
          <w:tcPr>
            <w:tcW w:w="1276" w:type="dxa"/>
            <w:tcBorders>
              <w:top w:val="single" w:sz="4" w:space="0" w:color="auto"/>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b/>
                <w:bCs/>
                <w:color w:val="000000"/>
                <w:sz w:val="20"/>
                <w:szCs w:val="20"/>
                <w:lang w:eastAsia="lv-LV"/>
              </w:rPr>
            </w:pPr>
            <w:r w:rsidRPr="005B389D">
              <w:rPr>
                <w:rFonts w:ascii="Arial" w:eastAsia="Times New Roman" w:hAnsi="Arial" w:cs="Arial"/>
                <w:b/>
                <w:bCs/>
                <w:color w:val="000000"/>
                <w:sz w:val="20"/>
                <w:szCs w:val="20"/>
                <w:lang w:eastAsia="lv-LV"/>
              </w:rPr>
              <w:t>Daudzums</w:t>
            </w:r>
          </w:p>
        </w:tc>
        <w:tc>
          <w:tcPr>
            <w:tcW w:w="2548" w:type="dxa"/>
            <w:tcBorders>
              <w:top w:val="single" w:sz="4" w:space="0" w:color="auto"/>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20"/>
                <w:szCs w:val="20"/>
                <w:lang w:eastAsia="lv-LV"/>
              </w:rPr>
            </w:pPr>
            <w:r w:rsidRPr="005B389D">
              <w:rPr>
                <w:rFonts w:ascii="Arial" w:eastAsia="Times New Roman" w:hAnsi="Arial" w:cs="Arial"/>
                <w:b/>
                <w:bCs/>
                <w:sz w:val="20"/>
                <w:szCs w:val="20"/>
                <w:lang w:eastAsia="lv-LV"/>
              </w:rPr>
              <w:t>Tehniskā specifikācija</w:t>
            </w:r>
          </w:p>
        </w:tc>
        <w:tc>
          <w:tcPr>
            <w:tcW w:w="1080" w:type="dxa"/>
            <w:tcBorders>
              <w:top w:val="single" w:sz="4" w:space="0" w:color="auto"/>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b/>
                <w:bCs/>
                <w:sz w:val="20"/>
                <w:szCs w:val="20"/>
                <w:lang w:eastAsia="lv-LV"/>
              </w:rPr>
            </w:pPr>
            <w:r w:rsidRPr="005B389D">
              <w:rPr>
                <w:rFonts w:ascii="Arial" w:eastAsia="Times New Roman" w:hAnsi="Arial" w:cs="Arial"/>
                <w:b/>
                <w:bCs/>
                <w:sz w:val="20"/>
                <w:szCs w:val="20"/>
                <w:lang w:eastAsia="lv-LV"/>
              </w:rPr>
              <w:t>Garantija</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rsidR="00762EA4" w:rsidRPr="005B389D" w:rsidRDefault="00762EA4" w:rsidP="00BC2B01">
            <w:pPr>
              <w:jc w:val="center"/>
              <w:rPr>
                <w:rFonts w:eastAsia="Times New Roman"/>
                <w:b/>
                <w:bCs/>
                <w:color w:val="000000"/>
                <w:sz w:val="20"/>
                <w:szCs w:val="20"/>
                <w:lang w:eastAsia="lv-LV"/>
              </w:rPr>
            </w:pPr>
            <w:r w:rsidRPr="005B389D">
              <w:rPr>
                <w:rFonts w:eastAsia="Times New Roman"/>
                <w:b/>
                <w:bCs/>
                <w:color w:val="000000"/>
                <w:sz w:val="20"/>
                <w:szCs w:val="20"/>
                <w:lang w:eastAsia="lv-LV"/>
              </w:rPr>
              <w:t>Piedāvājums (t.sk., garantijas termiņš)</w:t>
            </w:r>
          </w:p>
        </w:tc>
      </w:tr>
      <w:tr w:rsidR="00762EA4" w:rsidRPr="005B389D" w:rsidTr="00BC2B01">
        <w:trPr>
          <w:trHeight w:val="720"/>
        </w:trPr>
        <w:tc>
          <w:tcPr>
            <w:tcW w:w="568" w:type="dxa"/>
            <w:vMerge w:val="restart"/>
            <w:tcBorders>
              <w:top w:val="nil"/>
              <w:left w:val="single" w:sz="4" w:space="0" w:color="auto"/>
              <w:bottom w:val="nil"/>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Skaļrunis augsto frekveņču atskaņošanai. Iekarami grieztos. (Clair Brothers kiT12i vai ekvivalentu)</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komplekts</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Katrs komplekts sastāv no divām savstarpēji salāgotām akustiskajām sistēmām komplektā ar visiem nepieciešamajiem iekares aksesuāriem.</w:t>
            </w:r>
          </w:p>
        </w:tc>
        <w:tc>
          <w:tcPr>
            <w:tcW w:w="1080"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72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Divjoslu akustiskā sistēma paredzēta instalācijām ar stūros integrētiem universāliem iekares elementiem, skandai jābūt trapeces formā</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Sistēma izmantojama gan pasīvi ar iebūvētu joslu filtru, gan ar aktīvu joslu dalījumu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Maksimālais skaņas spiediens ne mazāks kā 126dB pastāvīgais, 139dB pīķa</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Jauda ne mazāka kā 500W pastāvīgi LF, un 150W HF</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Pretestība LF 8omi, HF 16omi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Pilnā frekvenču josla vismaz no 63Hz līdz 20kHz +/- 2dB</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Vērsums ne vairāk kā 60º pa horizontāli un 40º pa vertikāli @ -6dB</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Rupora vērsums maināms par 90º</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Skaļruņi: 1 gab 12”ZF (ne lielāks), 1 gab ne mazāks kā 2” AF ruporā</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xml:space="preserve">Korpusa konstrukcijas materiāls: vismaz 18mm biezs bērza saplāksnis </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Perforēta priekšējā skaļruņu aizsargreste ar akustiski caurskanošu aizsargporolonu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Krāsa: gan korpuss gan reste melni matēti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Izmēri nepārsniedz 380mm (platums) x 390mm (dziļums) x 720mm (augstums)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30kg</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20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Komplektā 4 dzīslu lokans akustisko sistēmu kabelis dubultā izolācijā, skandu masīva savienošanai ar pastiprinātāju, katras dzīslas šķērsgriezums ne mazāks kā 4.0mm2, kabeļa garums vismaz 30m, ar atbilstošajiem kontaktspraudņiem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960"/>
        </w:trPr>
        <w:tc>
          <w:tcPr>
            <w:tcW w:w="568"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Katrā komplektā divi gabali, 2 dzīslu lokani akustisko sistēmu kabeļi dubultā izolācijā, šķērsgriezums ne mazāks kā 1.5mm2, kabeļa garums 6m, ar divpolu speakon tipa spraudņiem abos galos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2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1843" w:type="dxa"/>
            <w:vMerge w:val="restart"/>
            <w:tcBorders>
              <w:top w:val="nil"/>
              <w:left w:val="single" w:sz="4" w:space="0" w:color="auto"/>
              <w:bottom w:val="nil"/>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Skaļrunis zemo frekveņču atskaņošanai. Iekarami grieztos. (Clair Brothers kiT-Sub vai ekvivalents)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komplekts</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Katrā komplektā ietilpst viena zemfrekvences akustikā sistēma un attiecīgie iekares elementi. Zemfrekvences akustiskajai sistēmai jābūt savietojamai ar saistošajām augstfrekvences akustiskajām sistēmām, veidojot vienu kopēju, iekarināmu skaņas sitēmas masīvu.</w:t>
            </w:r>
          </w:p>
        </w:tc>
        <w:tc>
          <w:tcPr>
            <w:tcW w:w="1080"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Akustiskā sistēma paredzēta instalācijām ar stūros integrētiem universāliem iekares elementiem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Maksimālais skaņas spiediens ne mazāks kā 133dB pastāvīgais, 135dB pīķa</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Jauda ne mazāka kā 1600W pastāvīgi, un 3200W pīķa</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Pretestība 4omi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Pilnā frekvenču josla vismaz no 41Hz līdz 250Hz +/- 2dB</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Skaļruņi: 1 gab ne mazāks kā 18”</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xml:space="preserve">Korpusa konstrukcijas materiāls: vismaz 18mm biezs bērza saplāksnis </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Perforēta priekšējā skaļruņu aizsargreste ar akustiski caurskanošu aizsargporolonu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Krāsa: gan korpuss gan reste melni matēti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Izmēri nepārsniedz 720mm (platums) x 570mm (dziļums) x 768mm (augstums)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nil"/>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69kg</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EA4" w:rsidRPr="005B389D" w:rsidRDefault="00762EA4" w:rsidP="00BC2B01">
            <w:pPr>
              <w:rPr>
                <w:rFonts w:ascii="Arial" w:eastAsia="Times New Roman" w:hAnsi="Arial" w:cs="Arial"/>
                <w:b/>
                <w:bCs/>
                <w:color w:val="000000"/>
                <w:sz w:val="18"/>
                <w:szCs w:val="18"/>
                <w:lang w:eastAsia="lv-LV"/>
              </w:rPr>
            </w:pPr>
            <w:r w:rsidRPr="005B389D">
              <w:rPr>
                <w:rFonts w:ascii="Arial" w:eastAsia="Times New Roman" w:hAnsi="Arial" w:cs="Arial"/>
                <w:b/>
                <w:bCs/>
                <w:color w:val="000000"/>
                <w:sz w:val="18"/>
                <w:szCs w:val="18"/>
                <w:lang w:eastAsia="lv-LV"/>
              </w:rPr>
              <w:t xml:space="preserve">Skaļruņu procesors- pastiprinātājs (Clair Brothers PLM 12k44vai ekvivalentu) </w:t>
            </w:r>
            <w:r w:rsidRPr="005B389D">
              <w:rPr>
                <w:rFonts w:ascii="Arial" w:eastAsia="Times New Roman" w:hAnsi="Arial" w:cs="Arial"/>
                <w:b/>
                <w:bCs/>
                <w:sz w:val="18"/>
                <w:szCs w:val="18"/>
                <w:lang w:eastAsia="lv-LV"/>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4 kanālu TD klases jaudas pastiprinātājs ar iebūvētu digitālu skaņas procesoru</w:t>
            </w:r>
          </w:p>
        </w:tc>
        <w:tc>
          <w:tcPr>
            <w:tcW w:w="1080"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Kopējā jauda ne mazāka kā 12000W, vai 3000W uz kanālu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Viena kanāla maksimālā jauda 4600W pie 4omiem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Kropļojumi pie 1kHz &lt;0.04%</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Frekvenču dipazons vismaz no 20Hz līdz 20kHz</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Dinamiskais diapazons &gt; 114 dB</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Iebūvēts caur tīklu vadāms digitālais skaņas procesors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DSP konfigurējams un vadāms no PC ar speciālu programmatūru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Ispēja lietot skandu ražotāju sagatavotos iestatījumus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Aprīkots ar 2.5" LCD displeju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Audio ieejas: 4x analogas, 4x AES3, 8x8 Dante</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Semplēšanas frekvence vismaz 96kHz</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Aprīkots ar "soft start" funkciju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19” statnē montējams korpuss, augstums 2U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color w:val="000000"/>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17kg</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4</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Skaņas pults 32 kanāli( Midas M32 vai ekvivalentu)</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Kompakta, fiksēta formāta digitāla audio miksēšanas sistēma</w:t>
            </w:r>
          </w:p>
        </w:tc>
        <w:tc>
          <w:tcPr>
            <w:tcW w:w="1080"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44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Pults vadības rokturi ir izkārtoti vismaz divās plaknēs, kur horizontālajā plaknē izvietota vismaz kanālu skaļuma regulēšanas vadība, bet uz virsmas, kura ir vismaz 30° leņķī pavērsta pret operatoru novietots vismaz displejs. Vadības rokturu marķējumam jābūt skaidri saprotamam. Katrs pilts kanāls aprīkots ar krāsainu LCD displeju.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96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Vadības virsma var darboties ka atsevišķa sistēma nodrošinot 32 analogas mic/line ieejas, 6 analogas līnijas ieejas, 24 analogas izejas ieskaitot kontroles monitoru izejas un AUX izejas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16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xml:space="preserve">Sistēmai jābūt paplašināmai ar ārējiem ieeju/izeju blokiem un integrējamai AES50 audio </w:t>
            </w:r>
            <w:proofErr w:type="gramStart"/>
            <w:r w:rsidRPr="005B389D">
              <w:rPr>
                <w:rFonts w:ascii="Arial" w:eastAsia="Times New Roman" w:hAnsi="Arial" w:cs="Arial"/>
                <w:sz w:val="18"/>
                <w:szCs w:val="18"/>
                <w:lang w:eastAsia="lv-LV"/>
              </w:rPr>
              <w:t>tīklā,  nodrošinot</w:t>
            </w:r>
            <w:proofErr w:type="gramEnd"/>
            <w:r w:rsidRPr="005B389D">
              <w:rPr>
                <w:rFonts w:ascii="Arial" w:eastAsia="Times New Roman" w:hAnsi="Arial" w:cs="Arial"/>
                <w:sz w:val="18"/>
                <w:szCs w:val="18"/>
                <w:lang w:eastAsia="lv-LV"/>
              </w:rPr>
              <w:t xml:space="preserve"> 96 ieeju un 96 izeju konfigurēšanu. Tīkla ietvaros var tikt vienlaicīgi miksētas 40 ieejas uz 25 izejām. Katram miksēšanas ieejas kanālam jābūt aprīkotam ar 4-joslu parametrisko ekvalaizeri, kompresoru un "gate" dinamisko apstrādi. Katram miksēšanas izejas kanālam jābūt aprīkotam ar 6-joslu parametrisko ekvalaizeri un kompresoru.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Visām izejām jābūt  "phase-coherent"</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Sistēmai jānodrošina līdz 8 efektu procesoru vienlaicīgu darbību no vismaz 16 izvēles procesoriem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 virsmas jābūt vismaz 25 motorizētiem bīdāmiem kanālu feideriem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Jābūt iespējai lietot līdz 16 31-joslu grafiskajiem ekvalaizeriem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Jābūt iespējai lietot 8 DCA grupas un 6 MUTE grupas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Virsmai jābūt aprīkotai ar 7" dienas gaismā redzamu, augstas izšķirtspējas krāsaino displeju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Virsmā iebūvēts digitāls atskaņotās/rakstītājs izmantojot pievienojamu USB zibatmiņu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Virsma aprīkota ar 32 kanālu IN/OUT USB audio interfeisu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Jābūt iespējai pults virsmu aprīkot pēc vajadzības ar ADAT, DANTE un MADI kartēm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Digitālā signāla iekšējā apstrāde ne zemāk kā 48 kHz 40-bit "floating-point"</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Digitālā audio signāla kvalitāte ne zemāka kā 48kHz, 24-bit</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185"/>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Sistēmai jābūt aprīkotai ar ULTRANET digitālo protokolu, kurš nodrošina vismaz 16 audio kanālu plūsmu un attālinātu akustisko iekārtu vadību, izmantojot CAT5e kabeli, ULTRANET un AES50 protokoli var tikts sūtīti vienu un to pašu CAT5e kabeli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Jābūt iespējai vadīt iekārtu gan no perrsonālā datora, gan mobīlajām iekārtām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Virsmas platums nepārsniedz 900mm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Virsmas dziļums nepārsniedz 650mm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Virsmas augstums nepārsniedz 260mm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Virsmas svars nepārsniedz 25kg</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Komplektā ar putekļu aizsargpārvalku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2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Komplektā transportkaste vadības pultij:Bērza saplākšņa lamināta korpuss; Alumīnija profilu savienojumi;Vāku slēdzenes un rokturi ;Kastes iekšpuse ar polsterējumu pults došai transportēšanai kravas furgonā;Kabeļa nodalījumā brīva vieta visai pults komutācijai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Skaņas pults ar usb ieeju  4ch (Denon DN-F350 vai ekvivalentu)</w:t>
            </w:r>
            <w:r w:rsidRPr="005B389D">
              <w:rPr>
                <w:rFonts w:ascii="Arial" w:eastAsia="Times New Roman" w:hAnsi="Arial" w:cs="Arial"/>
                <w:sz w:val="18"/>
                <w:szCs w:val="18"/>
                <w:lang w:eastAsia="lv-LV"/>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Miksēšanas iekārta ar mēdiju atskaņotāju, mikrofona ieeju un stereo līnijas ieeju</w:t>
            </w:r>
          </w:p>
        </w:tc>
        <w:tc>
          <w:tcPr>
            <w:tcW w:w="1080"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Iekārta atskaņo failus no USB zibatmiņas, SD kartes, ir spējīga atskaņot no BT sapārotajām iekārtām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Atskaņojamie failu formāti WAV, MP3, FLAC, MP2, AIFF, arī M4A un WMA ja nav DRM aizsardzības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Izejas konektori 2x XLRM un 2x RCA</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Mikroffona ieeja XLR tipa spraudnis</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Līnijas ieejas spraudnis 3.5mm minijack</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Iespēja atsevišķi regulēt skaļumu pieslēgtajam mikrofonam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Montējams standarta 19" statnē</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Izmērs nepārsniedz 430 x 200 x 43.6mm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2.5kg</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6</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Skaņas pults main audio rack (Midas DL32 vai ekvivalentu)</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Fiksēts audio ieeju izeju bloks, paredzēts darbam AES50 audio tīklā</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96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Blokam jānodrošina 32 analogas audio ieejas ar augstvērtīgiem mikrofona priekšpastiprinātājiem un 16 anologas audio izejas, kuras var attālināti vadīt izmantojot AES50 tīklu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A/D un D/A konvertors ne mazāk kā 24bit/48kHz</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Divas AES50 pieslēgumvietas, kuras nodrošina esošā bloka pieslēgšanu sistēmai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Bloka augstums nepārsniedz 3U, bloka platums 19"</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72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Blokā jābūt MIDI in un out pieslēgumvietām, ULTRANET pieslēgumvietai, USB pieslēgumvietai,  ADAT OUT izejai un divām AES3 (AES/EBU) izejām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44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Komplektā transportkaste vadības pultij:Bērza saplākšņa lamināta korpuss; Alumīnija profilu savienojumi;Noņemami priekšējais un aizmugurējais vāks ;Vismaz divi rokturi kastes transportēšanai;Paredzēta standarta 19" iekārtu montāžai;Augstums nepārsniedz 4U;Dziļums nepārsniedz 400mm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96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tcBorders>
              <w:top w:val="nil"/>
              <w:left w:val="nil"/>
              <w:bottom w:val="single" w:sz="4" w:space="0" w:color="auto"/>
              <w:right w:val="single" w:sz="4" w:space="0" w:color="auto"/>
            </w:tcBorders>
            <w:shd w:val="clear" w:color="auto" w:fill="auto"/>
            <w:hideMark/>
          </w:tcPr>
          <w:p w:rsidR="00762EA4" w:rsidRPr="005B389D" w:rsidRDefault="00762EA4" w:rsidP="00BC2B01">
            <w:pPr>
              <w:ind w:firstLineChars="100" w:firstLine="180"/>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Vīto pāru instalācijas kabelis CAT7 (Sommercable SC-Mercator 580-0255F vai ekvivalents)</w:t>
            </w:r>
          </w:p>
        </w:tc>
        <w:tc>
          <w:tcPr>
            <w:tcW w:w="1134"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w:t>
            </w:r>
          </w:p>
        </w:tc>
        <w:tc>
          <w:tcPr>
            <w:tcW w:w="1276"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60</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Vīto pāru S/FTP CAT7 instalācijas kabelis FRNC izolācijā, kabeļa konstrukcija 4x2x057mm, ārējais diametrs nepārsniedz 7.6mm, signāla kritums uz 100m pie 600MHz nepārsniedz 44dB</w:t>
            </w:r>
          </w:p>
        </w:tc>
        <w:tc>
          <w:tcPr>
            <w:tcW w:w="1080"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tcBorders>
              <w:top w:val="nil"/>
              <w:left w:val="nil"/>
              <w:bottom w:val="single" w:sz="4" w:space="0" w:color="auto"/>
              <w:right w:val="single" w:sz="4" w:space="0" w:color="auto"/>
            </w:tcBorders>
            <w:shd w:val="clear" w:color="auto" w:fill="auto"/>
            <w:hideMark/>
          </w:tcPr>
          <w:p w:rsidR="00762EA4" w:rsidRPr="005B389D" w:rsidRDefault="00762EA4" w:rsidP="00BC2B01">
            <w:pPr>
              <w:ind w:firstLineChars="100" w:firstLine="180"/>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RJ 45 ligzdas (Neutrik NE8FDV-YK vai analogs)</w:t>
            </w:r>
          </w:p>
        </w:tc>
        <w:tc>
          <w:tcPr>
            <w:tcW w:w="1134"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4</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RJ45 tipa ligzdas ar fiksāciju, "D-shape" korpusā, paredzētas paneļa montāžai, IDC termināla savienojums</w:t>
            </w:r>
          </w:p>
        </w:tc>
        <w:tc>
          <w:tcPr>
            <w:tcW w:w="1080"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lastRenderedPageBreak/>
              <w:t>7</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Aktīvās skandas(Turbosound iQ12vai ekvivalentu</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Divu joslu akustiskā sistēma ar iebūvētu jaudas pastiprinātāju un digitālu signāla procesoru</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72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Izmantojama gan kā PA sistēma gan kā skatuves monitors,  ir paredzēta stacionārai instalācijai un mobilam darbam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Iebūvēts divkanālu D klases jaudas pastiprinātājs ar kopējo jaudu ne mazāk kā 2500W</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Maksimālais skaņas spiediens ne mazāks kā 130dB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Pilnā frekvenču josla vismaz no 52Hz līdz 18kHz  +/- 3dB, 45Hz līdz 20kHz  - 10dB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Vērsums vismaz 80º pa horizontāli un 60º pa vertikāli @ -6dB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Skaļruņi: 1 gab 12”ZF, 1 gab 1” AF ruporā</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Divas ieejas A/B ar atsevišķu jūtības regulāciju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2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Pieslēgumi: katra ieeja Jack/ XLR kombo ligzda , "link" izeja katrai ieejai 3-pin MXLR ligzda, viena "mix" izeja 3-pin MXLR, divi RJ45 konektori IN/THRU digitālā audio signāla pieslēgumi, strāvas pieslēgumi IN/LINK OUTPUT ar powerCON tipa konektoriem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72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Digitālajam audio pieslēgumam jānodrošina vismaz 16 audio kanālu plūsma un attālināta skandas uzstādījumu koriģēšana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DSP jānodrošina sekojošas funkcijas: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rūpnīcas iestatījumi atbilstoši skandas novietošanas pozīcijai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xml:space="preserve">iespēja uzstādīt aizturi vismaz  līdz 300msec </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iespēja uzstādīt limitera slieksni robežās līdz -30dB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rūpnīcas sagatavota skandu modeļu izvēle, lai sabalansētu skanējumu ar dažādu ražotāju skandām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rūpnīcas sagatavoti ekvalizācijas uzstādijumi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lietotāja ekvalaizeris ar vismaz četrām joslām no kurām vismaz divas ir pilnas parametrijas ekvalaizeris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iespēja uzstādīt joslu dalījumu, gan izmantojot sagataves noteiktiem modeļiem, gan brīva lietotāja izvēle</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iebūvēts atgriezenisko saišu mazinātājs, kurš var darboties gan automātiskā režīmā, gan fiksētā režīmā</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procesoram jābūt iespējai saglabāt uzstādījumu kopumu, kā arī izsaukt tos no atmiņas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DSP jābūt aprīkotam ar LCD displeju ērtai un saprotamai uzstādījumu veikšanai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DSP konfigurējams un vadāms arī no PC izmantojot speciālu programmatūru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Korpusā iebūvēti ne mazāk kā 3gb M10 iekares punkti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2gb iegremdēti rokturi ērtai skandas pārvietošanai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Perforēta priekšējā skaļruņu aizsargreste ar akustiski caurskanošu aizsargporolonu pret mitrumu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72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Akustiskās sistēmas pamatnē iebūvēta "glāze" akustisko sistēmu novietošanai uz 35mm statīva divos dažādos leņķos atkarībā no izmantošanas iespējas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Krāsa: gan korpuss gan reste melni matēti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Maksimālais izmērs līdz 380mm (platums) x 380mm (dziļums) x 610mm (augstums)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22kg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4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Komplektā ar akustiskās sistēmas statīvu, statīvs uz 3 balsta kājām, saliekams. Statīvs izgatavots no tērauda, svars nepārsniedz 6kg, pacelšanas augstums ne mazāk kā 2,2m, maksimālā celtspēja ne mazāka kā 50kg, krāsa melna.</w:t>
            </w:r>
            <w:r w:rsidRPr="005B389D">
              <w:rPr>
                <w:rFonts w:ascii="Arial" w:eastAsia="Times New Roman" w:hAnsi="Arial" w:cs="Arial"/>
                <w:sz w:val="18"/>
                <w:szCs w:val="18"/>
                <w:lang w:eastAsia="lv-LV"/>
              </w:rPr>
              <w:br/>
              <w:t>Statīvam jābūt aprīkotam ar dubulto augstuma fiksāciju.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615"/>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8</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Jostas radiosistēmu komplekts (Beyerdynamic TG 500 series vai ekvivalentu)</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komplekts</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nil"/>
              <w:right w:val="nil"/>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Komplektam jānodrošina vismaz 5 vienlaikus drabojošies bezvadu kanāli</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single" w:sz="4" w:space="0" w:color="auto"/>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UHF frekvenču diapazona vai augstāka diapazona bezvadu mikrofonu uztvērējs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Automātiskās frekvenču skanēšanas funkcija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Katram kanālam pārslēdzamas frekvences, ar iespēju vienlaicīgi lietot vismaz 16 kanālus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Iebūvēts antenu dalītājs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 priekšējo paneli izvadāmas 2gab uztverošās antenas ar barošanu +8V</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19" standarta statnē montējams, 1U augsts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Aprīkots ar LCD displeju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Uztveršanas un kanāla indikācija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Audio izejas: katram kanālam simetriska 3-pin XLR tipa 1gb, nesimetriska 6.35mm jack tipa 1gb.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pārslēdzams MIC/Line līmenis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Pie jostas stiprināms UHF vai augstāka frekvenču diapazona jostas raidītājs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pārslēdzamas frekvences sinhronizējot ar uztvērēju, iespējams vienlaicīgi lietot vismaz 16 kanālus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Aprīkots ar LCD displeju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Mikrofona / līnijas pieslēgums: 4-pin mini XLR</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Izmēri nepārsniedz 95 mm x 60 mm x 30 mm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100 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Lietojams ar 2gb AA tipa baterijām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Frekvenču diapazonam jāatbilst Latvijas likumdošanā noteiktajam un saskaņotam ar doto lokalizācijas vietu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96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Platjoslas antenu kombinieris (Beyerdynamic WA-AS4 vai ekvivalentu)</w:t>
            </w:r>
          </w:p>
        </w:tc>
        <w:tc>
          <w:tcPr>
            <w:tcW w:w="1134"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gab</w:t>
            </w:r>
          </w:p>
        </w:tc>
        <w:tc>
          <w:tcPr>
            <w:tcW w:w="1276"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Antenu kombinieris, kurš nodrošina izvēlēto bezvadu sistēmu saslēgšanu vienā sistēmā darbībai no divām antenām. Komplektā iekļauti  nepieciešamie savienojošie kabeļi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Platjoslas aktīvā antena (Beyerdynamic WA-ATDA vai ekvivalnetu)</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Komplektā ietilpst divas slēdzamas pasīva un aktīva platjoslas logaritmiskās virziendarbības antenas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Darbības diapazons 470 - 1000MHz</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Jūtība 5dBi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Pārslēdzams pastiprinājums 0dB (pasīva), +6dB un +12dB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Barošanas spriegums 8-9V DC</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Pretestība 50Ω</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Konektora tips BNC</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IP aizsardzības klase IP53</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280g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Jābūt paredzētai iespējai antenu montēt uz mikrofona statīva.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Jābūt 100% savietojama ar piedāvātajiem raidītājiem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84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9</w:t>
            </w:r>
          </w:p>
        </w:tc>
        <w:tc>
          <w:tcPr>
            <w:tcW w:w="1843" w:type="dxa"/>
            <w:tcBorders>
              <w:top w:val="nil"/>
              <w:left w:val="nil"/>
              <w:bottom w:val="single" w:sz="4" w:space="0" w:color="auto"/>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Ar bezvadu sistēmām savietojams mikrofonu komplekts.</w:t>
            </w:r>
          </w:p>
        </w:tc>
        <w:tc>
          <w:tcPr>
            <w:tcW w:w="1134"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komplekts</w:t>
            </w:r>
          </w:p>
        </w:tc>
        <w:tc>
          <w:tcPr>
            <w:tcW w:w="1276"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Ar bezvadu sistēmām savietojams un salāgots mikrofonu komplekts. Komplekts sastāv no astoņiem uz galvas liekamiem mikrofoniem un 2 rokās turamiem mikrofoniem</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Galvas mikrofons (BEYERDYNAMIC TG H34 (TG) vai ekvivalnetu)</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8</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 galvas liekams mikrofons pieslēgšanai pie jostas raidītāja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Devēja tips: kondensators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Frekvenču diapazons: 20-13000Hz</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Maksimālais spiediens (SPL pie 1kHz) pie 1kHz 119dB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Polārais veids: superkardioids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Mikrofona pieslēgums pie raidītāja: 4-pin mini XLR</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Krāsa: melns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40g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Rokas mikrofons (Beyerdynamic TG 500 H-D vai ekvivalentu)</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Rokās turams UHF vai augstāka diapazona raidītājs ar dinamisko mikrofona galvu.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ne mazāk kā 72 darbības frekvences izvēles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pārslēdzamas frekvences sinhronizējot ar uztvērēju, iespējams vienlaicīgi lietot vismaz 16 kanālus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Aprīkots ar LCD displeju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Lietojams ar 2gb AA tipa baterijām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Frekvenču diapazonam jāatbilst Latvijas likumdošanā noteiktajam un saskaņotam ar doto lokalizācijas vietu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Ar rokas raidītāju savietojama vokālā mikrofona kapsula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Devēja tips: dinamiskais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Frekvenču diapazons vismaz 65-16000Hz</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Geneva CE" w:eastAsia="Times New Roman" w:hAnsi="Geneva CE" w:cs="Calibri"/>
                <w:sz w:val="18"/>
                <w:szCs w:val="18"/>
                <w:lang w:eastAsia="lv-LV"/>
              </w:rPr>
            </w:pPr>
            <w:r w:rsidRPr="005B389D">
              <w:rPr>
                <w:rFonts w:ascii="Geneva CE" w:eastAsia="Times New Roman" w:hAnsi="Geneva CE" w:cs="Calibri"/>
                <w:sz w:val="18"/>
                <w:szCs w:val="18"/>
                <w:lang w:eastAsia="lv-LV"/>
              </w:rPr>
              <w:t>Polārais veids: kardioids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Bezvadu ausu/galvas monitori (Sennheiser ew IEM G4 vai ekvivalentu)</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color w:val="000000"/>
                <w:sz w:val="18"/>
                <w:szCs w:val="18"/>
                <w:lang w:eastAsia="lv-LV"/>
              </w:rPr>
            </w:pPr>
            <w:r w:rsidRPr="005B389D">
              <w:rPr>
                <w:rFonts w:ascii="Arial" w:eastAsia="Times New Roman" w:hAnsi="Arial" w:cs="Arial"/>
                <w:color w:val="000000"/>
                <w:sz w:val="18"/>
                <w:szCs w:val="18"/>
                <w:lang w:eastAsia="lv-LV"/>
              </w:rPr>
              <w:t>gab</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Bezvadu ausu monitoru komplekts, kurā ietilpst raidītājs, pie jostas stiprināms uztvērējs un austiņas</w:t>
            </w:r>
          </w:p>
        </w:tc>
        <w:tc>
          <w:tcPr>
            <w:tcW w:w="1080" w:type="dxa"/>
            <w:vMerge w:val="restart"/>
            <w:tcBorders>
              <w:top w:val="nil"/>
              <w:left w:val="single" w:sz="4" w:space="0" w:color="auto"/>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Raidītāja izejas jauda slēdzama 10mW, 30mW, 50mW</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Signāla modulācija - platjoslas FM stereo ar MPX pilot toni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Uzstādāma raidīšanas frekvence vismaz līdz 30MHz joslā ar soli 25kHz</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16 vienlaicīgi darbojošies kanāli vienā diapazonā</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Raidītāja barošana 12V DC</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xml:space="preserve">Raidītāja izmēri nepārsniedz 210 x 220 x 45 mm </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Raidītājs paredzēts montēt 19" standarta stanē</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xml:space="preserve">Uztvērēja izejas jauda ne mazāka kā 2 x 100 mW pie 32 Ω </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Uztvērēja barošana 2 AA tipa baterijas vai lādējami akumulatori</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Uztvērēja izmēri nepārsniedz 90 x 70 x 25 mm</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Uztvērēja svars nepārsniedz 130g</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color w:val="000000"/>
                <w:sz w:val="18"/>
                <w:szCs w:val="18"/>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Frekvenču diapazonam jāatbilst Latvijas likumdošanā noteiktajam un saskaņotam ar doto lokalizācijas vietu</w:t>
            </w:r>
          </w:p>
        </w:tc>
        <w:tc>
          <w:tcPr>
            <w:tcW w:w="1080" w:type="dxa"/>
            <w:vMerge/>
            <w:tcBorders>
              <w:top w:val="nil"/>
              <w:left w:val="single" w:sz="4" w:space="0" w:color="auto"/>
              <w:bottom w:val="single" w:sz="4" w:space="0" w:color="auto"/>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lastRenderedPageBreak/>
              <w:t>11</w:t>
            </w:r>
          </w:p>
        </w:tc>
        <w:tc>
          <w:tcPr>
            <w:tcW w:w="680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Mūzikas atskaņotājs/PA sistēma komplekts</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vismaz 2 gadi</w:t>
            </w:r>
          </w:p>
        </w:tc>
        <w:tc>
          <w:tcPr>
            <w:tcW w:w="2029"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6801" w:type="dxa"/>
            <w:gridSpan w:val="4"/>
            <w:vMerge/>
            <w:tcBorders>
              <w:top w:val="single" w:sz="4" w:space="0" w:color="auto"/>
              <w:left w:val="single" w:sz="4" w:space="0" w:color="auto"/>
              <w:bottom w:val="single" w:sz="4" w:space="0" w:color="000000"/>
              <w:right w:val="single" w:sz="4" w:space="0" w:color="000000"/>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r>
      <w:tr w:rsidR="00762EA4" w:rsidRPr="005B389D" w:rsidTr="00BC2B01">
        <w:trPr>
          <w:trHeight w:val="72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 xml:space="preserve">Skaņas pults ar usb ieeju  4ch (Denon DN-F350 vai ekvivalentu) </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Miksēšanas iekārta ar mēdiju atskaņotāju, mikrofona ieeju un stereo līnijas ieeju</w:t>
            </w:r>
          </w:p>
        </w:tc>
        <w:tc>
          <w:tcPr>
            <w:tcW w:w="1080" w:type="dxa"/>
            <w:vMerge w:val="restart"/>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Iekārta atskaņo failus no USB zibatmiņas, SD kartes, ir spējīga atskaņot no BT sapārotajām iekārtām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Atskaņojamie failu formāti WAV, MP3, FLAC, MP2, AIFF, arī M4A un WMA ja nav DRM aizsardzības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Izejas konektori 2x XLRM un 2x RCA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Mikroffona ieeja XLR tipa spraudnis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Līnijas ieejas spraudnis 3.5mm minijack</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Iespēja atsevišķi regulēt skaļumu pieslēgtajam mikrofonam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Montējams standarta 19" statnē</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Augstums nepārsniedz 1U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Svars nepārsniedz 2.5kg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48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Platjoslas akustiskās sistēmas (Tannoy AMS 8DC vai ekvivalentu)</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2</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Divas pie sienas montējama akustiskā sistēmas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Maksimālais skaņas spiediens (SPL): 111dB vidējais, 117dB pīķa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Jūtība 92dB (1W @1m))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 xml:space="preserve">Virziendarbība 90º koniska </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Frekvenču josla no 65Hz līdz 30kHz -3dB</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Sistēmas pretestība 8 omi un ar iebūvētu 100V transformatoru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Jauda ne mazāk kā 90W pastāvīgi, 180W programmas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Jauda 100V režīmā pārslēdzama 15/30 un 60W</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102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Uzbūve: 1 gab ne mazāks kā 200mm ( 8" ) Dual Concentric™ ZF skaļrunis, 1 gab ne mazāks kā 25mm (1") titāna membrānas AF skaļrunis ar neodīmija magnētu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Korpuss un uzbūve paredzēta darbam gan iekštelpās gan ārtelpās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Krāsa melna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Komplektā ar sienas stiprinājuma kronšteinu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 xml:space="preserve">Izmērs nepārsniedz: augstums 410mm , platums 265mm, dziļums bez kronšteina 310mm </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Svars nepārsniedz 8kg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62EA4" w:rsidRPr="005B389D" w:rsidRDefault="00762EA4" w:rsidP="00BC2B01">
            <w:pPr>
              <w:jc w:val="center"/>
              <w:rPr>
                <w:rFonts w:ascii="Arial" w:eastAsia="Times New Roman" w:hAnsi="Arial" w:cs="Arial"/>
                <w:b/>
                <w:bCs/>
                <w:sz w:val="18"/>
                <w:szCs w:val="18"/>
                <w:lang w:eastAsia="lv-LV"/>
              </w:rPr>
            </w:pPr>
            <w:r w:rsidRPr="005B389D">
              <w:rPr>
                <w:rFonts w:ascii="Arial" w:eastAsia="Times New Roman" w:hAnsi="Arial" w:cs="Arial"/>
                <w:b/>
                <w:bCs/>
                <w:sz w:val="18"/>
                <w:szCs w:val="18"/>
                <w:lang w:eastAsia="lv-LV"/>
              </w:rPr>
              <w:t>Jaudas pastiprinātājs (Lab Gruppen Lucia 240/2 vai ekvivalnetu)</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gab</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1</w:t>
            </w: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Viens 2 kanālu jaudas pastiprinātājs ar iebūvētu digitālo skaņas procesoru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Jauda 120W pie 8Ω katram kanālam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Harmoniskie kropļojumi (THD) &lt;0.2%</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Frekvenču josla no 5Hz līdz 22kHz</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Indikācija uz priekšējā paneļa: 1 x strāva, 2 x signāls/limiters, 2 x skaļuma regulatori</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Ieeju konektori simetriski Euroblock un RCA tipa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Katra izeja aprīkota ar EQ</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Iekārtai ir iespēja pieslēgt attālinātu skaļuma regulāciju</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Iekārta aprīkota ar GPIO portiem</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Auto "stand-by" funkcija</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Ir iespēja programmēt uzstādijumus savienojot ar PC un saglābāt tos iekārtā</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Iespēja uzstādīt ražotāju piedāvātos skandu ekvilizācijas presetus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510"/>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Izmēri nepārsniedz 220mm (platums) x 285mm (dziļums) x 45mm (augstums)</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55"/>
        </w:trPr>
        <w:tc>
          <w:tcPr>
            <w:tcW w:w="568"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843"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b/>
                <w:bCs/>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548" w:type="dxa"/>
            <w:tcBorders>
              <w:top w:val="nil"/>
              <w:left w:val="nil"/>
              <w:bottom w:val="single" w:sz="4" w:space="0" w:color="auto"/>
              <w:right w:val="single" w:sz="4" w:space="0" w:color="auto"/>
            </w:tcBorders>
            <w:shd w:val="clear" w:color="auto" w:fill="auto"/>
            <w:hideMark/>
          </w:tcPr>
          <w:p w:rsidR="00762EA4" w:rsidRPr="005B389D" w:rsidRDefault="00762EA4" w:rsidP="00BC2B01">
            <w:pPr>
              <w:jc w:val="center"/>
              <w:rPr>
                <w:rFonts w:ascii="Arial" w:eastAsia="Times New Roman" w:hAnsi="Arial" w:cs="Arial"/>
                <w:sz w:val="20"/>
                <w:szCs w:val="20"/>
                <w:lang w:eastAsia="lv-LV"/>
              </w:rPr>
            </w:pPr>
            <w:r w:rsidRPr="005B389D">
              <w:rPr>
                <w:rFonts w:ascii="Arial" w:eastAsia="Times New Roman" w:hAnsi="Arial" w:cs="Arial"/>
                <w:sz w:val="20"/>
                <w:szCs w:val="20"/>
                <w:lang w:eastAsia="lv-LV"/>
              </w:rPr>
              <w:t>Svars nepārsniedz 2kg</w:t>
            </w:r>
          </w:p>
        </w:tc>
        <w:tc>
          <w:tcPr>
            <w:tcW w:w="1080" w:type="dxa"/>
            <w:vMerge/>
            <w:tcBorders>
              <w:top w:val="nil"/>
              <w:left w:val="single" w:sz="4" w:space="0" w:color="auto"/>
              <w:bottom w:val="single" w:sz="4" w:space="0" w:color="000000"/>
              <w:right w:val="single" w:sz="4" w:space="0" w:color="auto"/>
            </w:tcBorders>
            <w:vAlign w:val="center"/>
            <w:hideMark/>
          </w:tcPr>
          <w:p w:rsidR="00762EA4" w:rsidRPr="005B389D" w:rsidRDefault="00762EA4" w:rsidP="00BC2B01">
            <w:pPr>
              <w:rPr>
                <w:rFonts w:ascii="Arial" w:eastAsia="Times New Roman" w:hAnsi="Arial" w:cs="Arial"/>
                <w:sz w:val="18"/>
                <w:szCs w:val="18"/>
                <w:lang w:eastAsia="lv-LV"/>
              </w:rPr>
            </w:pPr>
          </w:p>
        </w:tc>
        <w:tc>
          <w:tcPr>
            <w:tcW w:w="2029" w:type="dxa"/>
            <w:tcBorders>
              <w:top w:val="nil"/>
              <w:left w:val="nil"/>
              <w:bottom w:val="single" w:sz="4" w:space="0" w:color="auto"/>
              <w:right w:val="single" w:sz="4" w:space="0" w:color="auto"/>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r w:rsidRPr="005B389D">
              <w:rPr>
                <w:rFonts w:ascii="Arial" w:eastAsia="Times New Roman" w:hAnsi="Arial" w:cs="Arial"/>
                <w:sz w:val="18"/>
                <w:szCs w:val="18"/>
                <w:lang w:eastAsia="lv-LV"/>
              </w:rPr>
              <w:t> </w:t>
            </w:r>
          </w:p>
        </w:tc>
      </w:tr>
      <w:tr w:rsidR="00762EA4" w:rsidRPr="005B389D" w:rsidTr="00BC2B01">
        <w:trPr>
          <w:trHeight w:val="240"/>
        </w:trPr>
        <w:tc>
          <w:tcPr>
            <w:tcW w:w="568" w:type="dxa"/>
            <w:tcBorders>
              <w:top w:val="nil"/>
              <w:left w:val="nil"/>
              <w:bottom w:val="nil"/>
              <w:right w:val="nil"/>
            </w:tcBorders>
            <w:shd w:val="clear" w:color="auto" w:fill="auto"/>
            <w:noWrap/>
            <w:hideMark/>
          </w:tcPr>
          <w:p w:rsidR="00762EA4" w:rsidRPr="005B389D" w:rsidRDefault="00762EA4" w:rsidP="00BC2B01">
            <w:pPr>
              <w:jc w:val="center"/>
              <w:rPr>
                <w:rFonts w:ascii="Arial" w:eastAsia="Times New Roman" w:hAnsi="Arial" w:cs="Arial"/>
                <w:sz w:val="18"/>
                <w:szCs w:val="18"/>
                <w:lang w:eastAsia="lv-LV"/>
              </w:rPr>
            </w:pPr>
          </w:p>
        </w:tc>
        <w:tc>
          <w:tcPr>
            <w:tcW w:w="1843"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134"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1276" w:type="dxa"/>
            <w:tcBorders>
              <w:top w:val="nil"/>
              <w:left w:val="nil"/>
              <w:bottom w:val="nil"/>
              <w:right w:val="nil"/>
            </w:tcBorders>
            <w:shd w:val="clear" w:color="auto" w:fill="auto"/>
            <w:noWrap/>
            <w:hideMark/>
          </w:tcPr>
          <w:p w:rsidR="00762EA4" w:rsidRPr="005B389D" w:rsidRDefault="00762EA4" w:rsidP="00BC2B01">
            <w:pPr>
              <w:jc w:val="right"/>
              <w:rPr>
                <w:rFonts w:eastAsia="Times New Roman"/>
                <w:sz w:val="20"/>
                <w:szCs w:val="20"/>
                <w:lang w:eastAsia="lv-LV"/>
              </w:rPr>
            </w:pPr>
          </w:p>
        </w:tc>
        <w:tc>
          <w:tcPr>
            <w:tcW w:w="2548"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080"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2029"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r>
      <w:tr w:rsidR="00762EA4" w:rsidRPr="005B389D" w:rsidTr="00BC2B01">
        <w:trPr>
          <w:trHeight w:val="240"/>
        </w:trPr>
        <w:tc>
          <w:tcPr>
            <w:tcW w:w="568"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1843"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134"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1276" w:type="dxa"/>
            <w:tcBorders>
              <w:top w:val="nil"/>
              <w:left w:val="nil"/>
              <w:bottom w:val="nil"/>
              <w:right w:val="nil"/>
            </w:tcBorders>
            <w:shd w:val="clear" w:color="auto" w:fill="auto"/>
            <w:noWrap/>
            <w:hideMark/>
          </w:tcPr>
          <w:p w:rsidR="00762EA4" w:rsidRPr="005B389D" w:rsidRDefault="00762EA4" w:rsidP="00BC2B01">
            <w:pPr>
              <w:jc w:val="right"/>
              <w:rPr>
                <w:rFonts w:eastAsia="Times New Roman"/>
                <w:sz w:val="20"/>
                <w:szCs w:val="20"/>
                <w:lang w:eastAsia="lv-LV"/>
              </w:rPr>
            </w:pPr>
          </w:p>
        </w:tc>
        <w:tc>
          <w:tcPr>
            <w:tcW w:w="2548"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080"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2029"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r>
      <w:tr w:rsidR="00762EA4" w:rsidRPr="005B389D" w:rsidTr="00BC2B01">
        <w:trPr>
          <w:trHeight w:val="240"/>
        </w:trPr>
        <w:tc>
          <w:tcPr>
            <w:tcW w:w="568" w:type="dxa"/>
            <w:tcBorders>
              <w:top w:val="nil"/>
              <w:left w:val="nil"/>
              <w:bottom w:val="nil"/>
              <w:right w:val="nil"/>
            </w:tcBorders>
            <w:shd w:val="clear" w:color="auto" w:fill="auto"/>
            <w:noWrap/>
          </w:tcPr>
          <w:p w:rsidR="00762EA4" w:rsidRPr="005B389D" w:rsidRDefault="00762EA4" w:rsidP="00BC2B01">
            <w:pPr>
              <w:rPr>
                <w:rFonts w:eastAsia="Times New Roman"/>
                <w:sz w:val="20"/>
                <w:szCs w:val="20"/>
                <w:lang w:eastAsia="lv-LV"/>
              </w:rPr>
            </w:pPr>
          </w:p>
        </w:tc>
        <w:tc>
          <w:tcPr>
            <w:tcW w:w="1843" w:type="dxa"/>
            <w:tcBorders>
              <w:top w:val="nil"/>
              <w:left w:val="nil"/>
              <w:bottom w:val="nil"/>
              <w:right w:val="nil"/>
            </w:tcBorders>
            <w:shd w:val="clear" w:color="auto" w:fill="auto"/>
          </w:tcPr>
          <w:p w:rsidR="00762EA4" w:rsidRPr="005B389D" w:rsidRDefault="00762EA4" w:rsidP="00BC2B01">
            <w:pPr>
              <w:rPr>
                <w:rFonts w:eastAsia="Times New Roman"/>
                <w:sz w:val="20"/>
                <w:szCs w:val="20"/>
                <w:lang w:eastAsia="lv-LV"/>
              </w:rPr>
            </w:pPr>
          </w:p>
        </w:tc>
        <w:tc>
          <w:tcPr>
            <w:tcW w:w="1134"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1276" w:type="dxa"/>
            <w:tcBorders>
              <w:top w:val="nil"/>
              <w:left w:val="nil"/>
              <w:bottom w:val="nil"/>
              <w:right w:val="nil"/>
            </w:tcBorders>
            <w:shd w:val="clear" w:color="auto" w:fill="auto"/>
            <w:noWrap/>
            <w:hideMark/>
          </w:tcPr>
          <w:p w:rsidR="00762EA4" w:rsidRPr="005B389D" w:rsidRDefault="00762EA4" w:rsidP="00BC2B01">
            <w:pPr>
              <w:jc w:val="right"/>
              <w:rPr>
                <w:rFonts w:eastAsia="Times New Roman"/>
                <w:sz w:val="20"/>
                <w:szCs w:val="20"/>
                <w:lang w:eastAsia="lv-LV"/>
              </w:rPr>
            </w:pPr>
          </w:p>
        </w:tc>
        <w:tc>
          <w:tcPr>
            <w:tcW w:w="2548"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080"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2029"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r>
      <w:tr w:rsidR="00762EA4" w:rsidRPr="005B389D" w:rsidTr="00BC2B01">
        <w:trPr>
          <w:trHeight w:val="240"/>
        </w:trPr>
        <w:tc>
          <w:tcPr>
            <w:tcW w:w="568"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1843"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134"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1276" w:type="dxa"/>
            <w:tcBorders>
              <w:top w:val="nil"/>
              <w:left w:val="nil"/>
              <w:bottom w:val="nil"/>
              <w:right w:val="nil"/>
            </w:tcBorders>
            <w:shd w:val="clear" w:color="auto" w:fill="auto"/>
            <w:noWrap/>
            <w:hideMark/>
          </w:tcPr>
          <w:p w:rsidR="00762EA4" w:rsidRPr="005B389D" w:rsidRDefault="00762EA4" w:rsidP="00BC2B01">
            <w:pPr>
              <w:jc w:val="right"/>
              <w:rPr>
                <w:rFonts w:eastAsia="Times New Roman"/>
                <w:sz w:val="20"/>
                <w:szCs w:val="20"/>
                <w:lang w:eastAsia="lv-LV"/>
              </w:rPr>
            </w:pPr>
          </w:p>
        </w:tc>
        <w:tc>
          <w:tcPr>
            <w:tcW w:w="2548" w:type="dxa"/>
            <w:tcBorders>
              <w:top w:val="nil"/>
              <w:left w:val="nil"/>
              <w:bottom w:val="nil"/>
              <w:right w:val="nil"/>
            </w:tcBorders>
            <w:shd w:val="clear" w:color="auto" w:fill="auto"/>
            <w:hideMark/>
          </w:tcPr>
          <w:p w:rsidR="00762EA4" w:rsidRPr="005B389D" w:rsidRDefault="00762EA4" w:rsidP="00BC2B01">
            <w:pPr>
              <w:rPr>
                <w:rFonts w:eastAsia="Times New Roman"/>
                <w:sz w:val="20"/>
                <w:szCs w:val="20"/>
                <w:lang w:eastAsia="lv-LV"/>
              </w:rPr>
            </w:pPr>
          </w:p>
        </w:tc>
        <w:tc>
          <w:tcPr>
            <w:tcW w:w="1080"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c>
          <w:tcPr>
            <w:tcW w:w="2029" w:type="dxa"/>
            <w:tcBorders>
              <w:top w:val="nil"/>
              <w:left w:val="nil"/>
              <w:bottom w:val="nil"/>
              <w:right w:val="nil"/>
            </w:tcBorders>
            <w:shd w:val="clear" w:color="auto" w:fill="auto"/>
            <w:noWrap/>
            <w:hideMark/>
          </w:tcPr>
          <w:p w:rsidR="00762EA4" w:rsidRPr="005B389D" w:rsidRDefault="00762EA4" w:rsidP="00BC2B01">
            <w:pPr>
              <w:rPr>
                <w:rFonts w:eastAsia="Times New Roman"/>
                <w:sz w:val="20"/>
                <w:szCs w:val="20"/>
                <w:lang w:eastAsia="lv-LV"/>
              </w:rPr>
            </w:pPr>
          </w:p>
        </w:tc>
      </w:tr>
    </w:tbl>
    <w:p w:rsidR="00762EA4" w:rsidRDefault="00762EA4" w:rsidP="00762EA4">
      <w:pPr>
        <w:pStyle w:val="BodyA"/>
        <w:suppressAutoHyphens/>
        <w:jc w:val="both"/>
        <w:rPr>
          <w:rStyle w:val="None"/>
          <w:rFonts w:ascii="Times New Roman" w:eastAsia="Times New Roman" w:hAnsi="Times New Roman" w:cs="Times New Roman"/>
        </w:rPr>
      </w:pPr>
      <w:r>
        <w:rPr>
          <w:rStyle w:val="None"/>
          <w:rFonts w:ascii="Times New Roman" w:hAnsi="Times New Roman"/>
          <w:lang w:val="en-US"/>
        </w:rPr>
        <w:t>2018. gada __</w:t>
      </w:r>
      <w:proofErr w:type="gramStart"/>
      <w:r>
        <w:rPr>
          <w:rStyle w:val="None"/>
          <w:rFonts w:ascii="Times New Roman" w:hAnsi="Times New Roman"/>
          <w:lang w:val="en-US"/>
        </w:rPr>
        <w:t>_._</w:t>
      </w:r>
      <w:proofErr w:type="gramEnd"/>
      <w:r>
        <w:rPr>
          <w:rStyle w:val="None"/>
          <w:rFonts w:ascii="Times New Roman" w:hAnsi="Times New Roman"/>
          <w:lang w:val="en-US"/>
        </w:rPr>
        <w:t>_____________</w:t>
      </w:r>
    </w:p>
    <w:tbl>
      <w:tblPr>
        <w:tblW w:w="77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0"/>
        <w:gridCol w:w="241"/>
        <w:gridCol w:w="1812"/>
        <w:gridCol w:w="240"/>
        <w:gridCol w:w="2537"/>
      </w:tblGrid>
      <w:tr w:rsidR="00762EA4" w:rsidTr="00BC2B01">
        <w:trPr>
          <w:trHeight w:val="310"/>
        </w:trPr>
        <w:tc>
          <w:tcPr>
            <w:tcW w:w="2870" w:type="dxa"/>
            <w:tcBorders>
              <w:top w:val="nil"/>
              <w:left w:val="nil"/>
              <w:bottom w:val="single" w:sz="4" w:space="0" w:color="000000"/>
              <w:right w:val="nil"/>
            </w:tcBorders>
            <w:shd w:val="clear" w:color="auto" w:fill="auto"/>
            <w:tcMar>
              <w:top w:w="80" w:type="dxa"/>
              <w:left w:w="80" w:type="dxa"/>
              <w:bottom w:w="80" w:type="dxa"/>
              <w:right w:w="80" w:type="dxa"/>
            </w:tcMar>
          </w:tcPr>
          <w:p w:rsidR="00762EA4" w:rsidRDefault="00762EA4" w:rsidP="00BC2B01"/>
        </w:tc>
        <w:tc>
          <w:tcPr>
            <w:tcW w:w="241"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1812" w:type="dxa"/>
            <w:tcBorders>
              <w:top w:val="nil"/>
              <w:left w:val="nil"/>
              <w:bottom w:val="single" w:sz="4" w:space="0" w:color="000000"/>
              <w:right w:val="nil"/>
            </w:tcBorders>
            <w:shd w:val="clear" w:color="auto" w:fill="auto"/>
            <w:tcMar>
              <w:top w:w="80" w:type="dxa"/>
              <w:left w:w="80" w:type="dxa"/>
              <w:bottom w:w="80" w:type="dxa"/>
              <w:right w:w="80" w:type="dxa"/>
            </w:tcMar>
          </w:tcPr>
          <w:p w:rsidR="00762EA4" w:rsidRDefault="00762EA4" w:rsidP="00BC2B01"/>
        </w:tc>
        <w:tc>
          <w:tcPr>
            <w:tcW w:w="240"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537" w:type="dxa"/>
            <w:tcBorders>
              <w:top w:val="nil"/>
              <w:left w:val="nil"/>
              <w:bottom w:val="single" w:sz="4" w:space="0" w:color="000000"/>
              <w:right w:val="nil"/>
            </w:tcBorders>
            <w:shd w:val="clear" w:color="auto" w:fill="auto"/>
            <w:tcMar>
              <w:top w:w="80" w:type="dxa"/>
              <w:left w:w="80" w:type="dxa"/>
              <w:bottom w:w="80" w:type="dxa"/>
              <w:right w:w="80" w:type="dxa"/>
            </w:tcMar>
          </w:tcPr>
          <w:p w:rsidR="00762EA4" w:rsidRDefault="00762EA4" w:rsidP="00BC2B01"/>
        </w:tc>
      </w:tr>
      <w:tr w:rsidR="00762EA4" w:rsidTr="00BC2B01">
        <w:trPr>
          <w:trHeight w:val="320"/>
        </w:trPr>
        <w:tc>
          <w:tcPr>
            <w:tcW w:w="2870"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rPr>
              <w:t>amats</w:t>
            </w:r>
          </w:p>
        </w:tc>
        <w:tc>
          <w:tcPr>
            <w:tcW w:w="241"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1812"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rPr>
              <w:t>paraksts</w:t>
            </w:r>
          </w:p>
        </w:tc>
        <w:tc>
          <w:tcPr>
            <w:tcW w:w="240"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537"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rPr>
              <w:t>paraksta atš</w:t>
            </w:r>
            <w:r>
              <w:rPr>
                <w:rStyle w:val="None"/>
                <w:rFonts w:ascii="Times New Roman" w:hAnsi="Times New Roman"/>
                <w:lang w:val="sv-SE"/>
              </w:rPr>
              <w:t>ifr</w:t>
            </w:r>
            <w:r>
              <w:rPr>
                <w:rStyle w:val="None"/>
                <w:rFonts w:ascii="Times New Roman" w:hAnsi="Times New Roman"/>
              </w:rPr>
              <w:t>ējums</w:t>
            </w:r>
          </w:p>
        </w:tc>
      </w:tr>
    </w:tbl>
    <w:p w:rsidR="00762EA4" w:rsidRDefault="00762EA4" w:rsidP="00762EA4">
      <w:pPr>
        <w:pStyle w:val="BodyA"/>
        <w:widowControl w:val="0"/>
        <w:suppressAutoHyphens/>
        <w:spacing w:line="240" w:lineRule="auto"/>
        <w:ind w:left="108" w:hanging="108"/>
        <w:rPr>
          <w:rFonts w:ascii="Times New Roman" w:eastAsia="Times New Roman" w:hAnsi="Times New Roman" w:cs="Times New Roman"/>
        </w:rPr>
      </w:pPr>
    </w:p>
    <w:p w:rsidR="00762EA4" w:rsidRDefault="00762EA4" w:rsidP="00762EA4">
      <w:pPr>
        <w:pStyle w:val="BodyA"/>
        <w:widowControl w:val="0"/>
        <w:suppressAutoHyphens/>
        <w:spacing w:line="240" w:lineRule="auto"/>
        <w:jc w:val="both"/>
        <w:rPr>
          <w:rFonts w:ascii="Times New Roman" w:eastAsia="Times New Roman" w:hAnsi="Times New Roman" w:cs="Times New Roman"/>
        </w:rPr>
      </w:pPr>
    </w:p>
    <w:p w:rsidR="00762EA4" w:rsidRDefault="00762EA4" w:rsidP="00762EA4">
      <w:pPr>
        <w:pStyle w:val="BodyA"/>
        <w:suppressAutoHyphens/>
      </w:pPr>
      <w:r>
        <w:rPr>
          <w:rStyle w:val="None"/>
          <w:rFonts w:ascii="Times New Roman" w:hAnsi="Times New Roman"/>
          <w:i/>
          <w:iCs/>
        </w:rPr>
        <w:t>Piedāvā</w:t>
      </w:r>
      <w:r>
        <w:rPr>
          <w:rStyle w:val="None"/>
          <w:rFonts w:ascii="Times New Roman" w:hAnsi="Times New Roman"/>
          <w:i/>
          <w:iCs/>
          <w:lang w:val="en-US"/>
        </w:rPr>
        <w:t>jums ir j</w:t>
      </w:r>
      <w:r>
        <w:rPr>
          <w:rStyle w:val="None"/>
          <w:rFonts w:ascii="Times New Roman" w:hAnsi="Times New Roman"/>
          <w:i/>
          <w:iCs/>
        </w:rPr>
        <w:t>āparaksta Pretendenta vadītā</w:t>
      </w:r>
      <w:r>
        <w:rPr>
          <w:rStyle w:val="None"/>
          <w:rFonts w:ascii="Times New Roman" w:hAnsi="Times New Roman"/>
          <w:i/>
          <w:iCs/>
          <w:lang w:val="pt-PT"/>
        </w:rPr>
        <w:t>jam vai vi</w:t>
      </w:r>
      <w:r>
        <w:rPr>
          <w:rStyle w:val="None"/>
          <w:rFonts w:ascii="Times New Roman" w:hAnsi="Times New Roman"/>
          <w:i/>
          <w:iCs/>
        </w:rPr>
        <w:t xml:space="preserve">ņa pilnvarotai personai, ja piedāvājumu paraksta pilnvarotā </w:t>
      </w:r>
      <w:r>
        <w:rPr>
          <w:rStyle w:val="None"/>
          <w:rFonts w:ascii="Times New Roman" w:hAnsi="Times New Roman"/>
          <w:i/>
          <w:iCs/>
          <w:lang w:val="es-ES_tradnl"/>
        </w:rPr>
        <w:t>persona, oblig</w:t>
      </w:r>
      <w:r>
        <w:rPr>
          <w:rStyle w:val="None"/>
          <w:rFonts w:ascii="Times New Roman" w:hAnsi="Times New Roman"/>
          <w:i/>
          <w:iCs/>
        </w:rPr>
        <w:t>āti jā</w:t>
      </w:r>
      <w:r>
        <w:rPr>
          <w:rStyle w:val="None"/>
          <w:rFonts w:ascii="Times New Roman" w:hAnsi="Times New Roman"/>
          <w:i/>
          <w:iCs/>
          <w:lang w:val="it-IT"/>
        </w:rPr>
        <w:t>pievieno pilnvara.</w:t>
      </w:r>
    </w:p>
    <w:p w:rsidR="00762EA4" w:rsidRDefault="00762EA4" w:rsidP="00762EA4">
      <w:pPr>
        <w:rPr>
          <w:rStyle w:val="None"/>
          <w:rFonts w:eastAsia="Calibri" w:cs="Calibri"/>
          <w:b/>
          <w:bCs/>
          <w:color w:val="000000"/>
          <w:u w:color="000000"/>
          <w:lang w:val="de-DE" w:eastAsia="lv-LV"/>
        </w:rPr>
      </w:pPr>
      <w:r>
        <w:rPr>
          <w:rStyle w:val="None"/>
          <w:b/>
          <w:bCs/>
          <w:lang w:val="de-DE"/>
        </w:rPr>
        <w:br w:type="page"/>
      </w:r>
    </w:p>
    <w:p w:rsidR="00762EA4" w:rsidRDefault="00762EA4" w:rsidP="00762EA4">
      <w:pPr>
        <w:pStyle w:val="ListParagraph"/>
        <w:shd w:val="clear" w:color="auto" w:fill="FFFFFF"/>
        <w:suppressAutoHyphens/>
        <w:spacing w:after="0" w:line="240" w:lineRule="auto"/>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lastRenderedPageBreak/>
        <w:t>3.pielikums</w:t>
      </w:r>
    </w:p>
    <w:p w:rsidR="00762EA4" w:rsidRDefault="00762EA4" w:rsidP="00762EA4">
      <w:pPr>
        <w:pStyle w:val="BodyA"/>
        <w:shd w:val="clear" w:color="auto" w:fill="FFFFFF"/>
        <w:suppressAutoHyphens/>
        <w:spacing w:after="0" w:line="240" w:lineRule="auto"/>
        <w:rPr>
          <w:rFonts w:ascii="Times New Roman" w:eastAsia="Times New Roman" w:hAnsi="Times New Roman" w:cs="Times New Roman"/>
          <w:b/>
          <w:bCs/>
          <w:sz w:val="20"/>
          <w:szCs w:val="20"/>
        </w:rPr>
      </w:pPr>
    </w:p>
    <w:p w:rsidR="00762EA4" w:rsidRDefault="00762EA4" w:rsidP="00762EA4">
      <w:pPr>
        <w:pStyle w:val="BodyA"/>
        <w:shd w:val="clear" w:color="auto" w:fill="FFFFFF"/>
        <w:suppressAutoHyphens/>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FINANŠU PIEDĀVĀ</w:t>
      </w:r>
      <w:r>
        <w:rPr>
          <w:rStyle w:val="None"/>
          <w:rFonts w:ascii="Times New Roman" w:hAnsi="Times New Roman"/>
          <w:b/>
          <w:bCs/>
          <w:sz w:val="24"/>
          <w:szCs w:val="24"/>
          <w:lang w:val="de-DE"/>
        </w:rPr>
        <w:t xml:space="preserve">JUMA VEIDNE </w:t>
      </w:r>
    </w:p>
    <w:p w:rsidR="00762EA4" w:rsidRDefault="00762EA4" w:rsidP="00762EA4">
      <w:pPr>
        <w:pStyle w:val="BodyA"/>
        <w:shd w:val="clear" w:color="auto" w:fill="FFFFFF"/>
        <w:suppressAutoHyphens/>
        <w:spacing w:after="0" w:line="240" w:lineRule="auto"/>
        <w:jc w:val="center"/>
        <w:rPr>
          <w:rFonts w:ascii="Times New Roman" w:eastAsia="Times New Roman" w:hAnsi="Times New Roman" w:cs="Times New Roman"/>
          <w:b/>
          <w:bCs/>
          <w:sz w:val="24"/>
          <w:szCs w:val="24"/>
        </w:rPr>
      </w:pPr>
    </w:p>
    <w:p w:rsidR="00762EA4" w:rsidRDefault="00762EA4" w:rsidP="00762EA4">
      <w:pPr>
        <w:pStyle w:val="ListParagraph"/>
        <w:suppressAutoHyphens/>
        <w:spacing w:after="0"/>
        <w:jc w:val="center"/>
        <w:rPr>
          <w:rStyle w:val="None"/>
          <w:rFonts w:ascii="Times New Roman" w:eastAsia="Times New Roman" w:hAnsi="Times New Roman" w:cs="Times New Roman"/>
          <w:b/>
          <w:bCs/>
          <w:color w:val="FF0000"/>
          <w:sz w:val="24"/>
          <w:szCs w:val="24"/>
          <w:u w:color="FF0000"/>
        </w:rPr>
      </w:pPr>
      <w:r>
        <w:rPr>
          <w:rStyle w:val="None"/>
          <w:rFonts w:ascii="Times New Roman" w:hAnsi="Times New Roman"/>
          <w:b/>
          <w:bCs/>
          <w:kern w:val="16"/>
          <w:sz w:val="24"/>
          <w:szCs w:val="24"/>
        </w:rPr>
        <w:t>„</w:t>
      </w:r>
      <w:r>
        <w:t xml:space="preserve"> </w:t>
      </w:r>
      <w:r>
        <w:rPr>
          <w:rStyle w:val="None"/>
          <w:rFonts w:ascii="Times New Roman" w:hAnsi="Times New Roman"/>
          <w:b/>
          <w:bCs/>
          <w:sz w:val="24"/>
          <w:szCs w:val="24"/>
        </w:rPr>
        <w:t>Profesionālās apskaņošanas</w:t>
      </w:r>
      <w:r>
        <w:rPr>
          <w:rStyle w:val="None"/>
          <w:rFonts w:ascii="Times New Roman" w:hAnsi="Times New Roman"/>
          <w:b/>
          <w:bCs/>
          <w:sz w:val="24"/>
          <w:szCs w:val="24"/>
          <w:lang w:val="es-ES_tradnl"/>
        </w:rPr>
        <w:t xml:space="preserve">  </w:t>
      </w:r>
      <w:r>
        <w:rPr>
          <w:rStyle w:val="None"/>
          <w:rFonts w:ascii="Times New Roman" w:hAnsi="Times New Roman"/>
          <w:b/>
          <w:bCs/>
          <w:sz w:val="24"/>
          <w:szCs w:val="24"/>
        </w:rPr>
        <w:t xml:space="preserve"> tehnikas iegā</w:t>
      </w:r>
      <w:r>
        <w:rPr>
          <w:rStyle w:val="None"/>
          <w:rFonts w:ascii="Times New Roman" w:hAnsi="Times New Roman"/>
          <w:b/>
          <w:bCs/>
          <w:sz w:val="24"/>
          <w:szCs w:val="24"/>
          <w:lang w:val="pt-PT"/>
        </w:rPr>
        <w:t>de L</w:t>
      </w:r>
      <w:r>
        <w:rPr>
          <w:rStyle w:val="None"/>
          <w:rFonts w:ascii="Times New Roman" w:hAnsi="Times New Roman"/>
          <w:b/>
          <w:bCs/>
          <w:sz w:val="24"/>
          <w:szCs w:val="24"/>
        </w:rPr>
        <w:t>KA Latvijas Kultūras koledžas vajadzībām</w:t>
      </w:r>
      <w:r>
        <w:rPr>
          <w:rStyle w:val="None"/>
          <w:rFonts w:ascii="Times New Roman" w:hAnsi="Times New Roman"/>
          <w:b/>
          <w:bCs/>
          <w:kern w:val="16"/>
          <w:sz w:val="24"/>
          <w:szCs w:val="24"/>
        </w:rPr>
        <w:t>”</w:t>
      </w:r>
    </w:p>
    <w:p w:rsidR="00762EA4" w:rsidRDefault="00762EA4" w:rsidP="00762EA4">
      <w:pPr>
        <w:pStyle w:val="BodyA"/>
        <w:shd w:val="clear" w:color="auto" w:fill="FFFFFF"/>
        <w:suppressAutoHyphens/>
        <w:spacing w:after="0" w:line="240" w:lineRule="auto"/>
        <w:jc w:val="both"/>
        <w:rPr>
          <w:rStyle w:val="None"/>
          <w:rFonts w:ascii="Times New Roman" w:eastAsia="Times New Roman" w:hAnsi="Times New Roman" w:cs="Times New Roman"/>
          <w:i/>
          <w:iCs/>
        </w:rPr>
      </w:pPr>
      <w:r>
        <w:rPr>
          <w:rStyle w:val="None"/>
          <w:rFonts w:ascii="Times New Roman" w:hAnsi="Times New Roman"/>
          <w:i/>
          <w:iCs/>
          <w:lang w:val="de-DE"/>
        </w:rPr>
        <w:t>Finan</w:t>
      </w:r>
      <w:r>
        <w:rPr>
          <w:rStyle w:val="None"/>
          <w:rFonts w:ascii="Times New Roman" w:hAnsi="Times New Roman"/>
          <w:i/>
          <w:iCs/>
        </w:rPr>
        <w:t>š</w:t>
      </w:r>
      <w:r>
        <w:rPr>
          <w:rStyle w:val="None"/>
          <w:rFonts w:ascii="Times New Roman" w:hAnsi="Times New Roman"/>
          <w:i/>
          <w:iCs/>
          <w:lang w:val="es-ES_tradnl"/>
        </w:rPr>
        <w:t>u pied</w:t>
      </w:r>
      <w:r>
        <w:rPr>
          <w:rStyle w:val="None"/>
          <w:rFonts w:ascii="Times New Roman" w:hAnsi="Times New Roman"/>
          <w:i/>
          <w:iCs/>
        </w:rPr>
        <w:t>āvājumu sagatavo, izcenojot iekā</w:t>
      </w:r>
      <w:r>
        <w:rPr>
          <w:rStyle w:val="None"/>
          <w:rFonts w:ascii="Times New Roman" w:hAnsi="Times New Roman"/>
          <w:i/>
          <w:iCs/>
          <w:lang w:val="sv-SE"/>
        </w:rPr>
        <w:t>rtas atbilsto</w:t>
      </w:r>
      <w:r>
        <w:rPr>
          <w:rStyle w:val="None"/>
          <w:rFonts w:ascii="Times New Roman" w:hAnsi="Times New Roman"/>
          <w:i/>
          <w:iCs/>
        </w:rPr>
        <w:t xml:space="preserve">ši tehniskajā </w:t>
      </w:r>
      <w:r>
        <w:rPr>
          <w:rStyle w:val="None"/>
          <w:rFonts w:ascii="Times New Roman" w:hAnsi="Times New Roman"/>
          <w:i/>
          <w:iCs/>
          <w:lang w:val="da-DK"/>
        </w:rPr>
        <w:t>specifik</w:t>
      </w:r>
      <w:r>
        <w:rPr>
          <w:rStyle w:val="None"/>
          <w:rFonts w:ascii="Times New Roman" w:hAnsi="Times New Roman"/>
          <w:i/>
          <w:iCs/>
        </w:rPr>
        <w:t>ācijā norādītajai iekārtu komplektācijai un rādītājiem, kā arī ņ</w:t>
      </w:r>
      <w:r>
        <w:rPr>
          <w:rStyle w:val="None"/>
          <w:rFonts w:ascii="Times New Roman" w:hAnsi="Times New Roman"/>
          <w:i/>
          <w:iCs/>
          <w:lang w:val="sv-SE"/>
        </w:rPr>
        <w:t>emot v</w:t>
      </w:r>
      <w:r>
        <w:rPr>
          <w:rStyle w:val="None"/>
          <w:rFonts w:ascii="Times New Roman" w:hAnsi="Times New Roman"/>
          <w:i/>
          <w:iCs/>
        </w:rPr>
        <w:t>ērā garantijas saistības</w:t>
      </w:r>
    </w:p>
    <w:p w:rsidR="00762EA4" w:rsidRDefault="00762EA4" w:rsidP="00762EA4">
      <w:pPr>
        <w:pStyle w:val="BodyA"/>
        <w:shd w:val="clear" w:color="auto" w:fill="FFFFFF"/>
        <w:suppressAutoHyphens/>
        <w:spacing w:after="0" w:line="240" w:lineRule="auto"/>
        <w:rPr>
          <w:rFonts w:ascii="Times New Roman" w:eastAsia="Times New Roman" w:hAnsi="Times New Roman" w:cs="Times New Roman"/>
          <w:b/>
          <w:bCs/>
          <w:sz w:val="20"/>
          <w:szCs w:val="20"/>
        </w:rPr>
      </w:pPr>
    </w:p>
    <w:tbl>
      <w:tblPr>
        <w:tblW w:w="11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67"/>
        <w:gridCol w:w="7371"/>
        <w:gridCol w:w="1275"/>
        <w:gridCol w:w="993"/>
        <w:gridCol w:w="1416"/>
      </w:tblGrid>
      <w:tr w:rsidR="00762EA4" w:rsidTr="00BC2B01">
        <w:trPr>
          <w:trHeight w:val="902"/>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2EA4" w:rsidRDefault="00762EA4" w:rsidP="00BC2B01">
            <w:pPr>
              <w:pStyle w:val="BodyA"/>
              <w:spacing w:after="0" w:line="240" w:lineRule="auto"/>
              <w:jc w:val="center"/>
            </w:pPr>
            <w:r>
              <w:rPr>
                <w:rStyle w:val="None"/>
                <w:rFonts w:ascii="Times New Roman" w:hAnsi="Times New Roman"/>
                <w:b/>
                <w:bCs/>
                <w:sz w:val="20"/>
                <w:szCs w:val="20"/>
              </w:rPr>
              <w:t>Nr.</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2EA4" w:rsidRDefault="00762EA4" w:rsidP="00BC2B01">
            <w:pPr>
              <w:pStyle w:val="BodyA"/>
              <w:spacing w:after="0" w:line="240" w:lineRule="auto"/>
              <w:jc w:val="center"/>
            </w:pPr>
            <w:r>
              <w:rPr>
                <w:rStyle w:val="None"/>
                <w:rFonts w:ascii="Times New Roman" w:hAnsi="Times New Roman"/>
                <w:b/>
                <w:bCs/>
                <w:sz w:val="20"/>
                <w:szCs w:val="20"/>
              </w:rPr>
              <w:t>Izmaksu pozīcija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2EA4" w:rsidRDefault="00762EA4" w:rsidP="00BC2B01">
            <w:pPr>
              <w:pStyle w:val="BodyA"/>
              <w:spacing w:after="0" w:line="240" w:lineRule="auto"/>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lang w:val="it-IT"/>
              </w:rPr>
              <w:t>Vien</w:t>
            </w:r>
            <w:r>
              <w:rPr>
                <w:rStyle w:val="None"/>
                <w:rFonts w:ascii="Times New Roman" w:hAnsi="Times New Roman"/>
                <w:b/>
                <w:bCs/>
                <w:sz w:val="20"/>
                <w:szCs w:val="20"/>
              </w:rPr>
              <w:t>ī</w:t>
            </w:r>
            <w:r>
              <w:rPr>
                <w:rStyle w:val="None"/>
                <w:rFonts w:ascii="Times New Roman" w:hAnsi="Times New Roman"/>
                <w:b/>
                <w:bCs/>
                <w:sz w:val="20"/>
                <w:szCs w:val="20"/>
                <w:lang w:val="es-ES_tradnl"/>
              </w:rPr>
              <w:t>bas cena EUR</w:t>
            </w:r>
          </w:p>
          <w:p w:rsidR="00762EA4" w:rsidRDefault="00762EA4" w:rsidP="00BC2B01">
            <w:pPr>
              <w:pStyle w:val="BodyA"/>
              <w:spacing w:after="0" w:line="240" w:lineRule="auto"/>
              <w:jc w:val="center"/>
            </w:pPr>
            <w:r>
              <w:rPr>
                <w:rStyle w:val="None"/>
                <w:rFonts w:ascii="Times New Roman" w:hAnsi="Times New Roman"/>
                <w:b/>
                <w:bCs/>
                <w:sz w:val="20"/>
                <w:szCs w:val="20"/>
              </w:rPr>
              <w:t>(bez PVN)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2EA4" w:rsidRDefault="00762EA4" w:rsidP="00BC2B01">
            <w:pPr>
              <w:pStyle w:val="BodyA"/>
              <w:spacing w:after="0" w:line="240" w:lineRule="auto"/>
              <w:jc w:val="center"/>
            </w:pPr>
            <w:r>
              <w:rPr>
                <w:rStyle w:val="None"/>
                <w:rFonts w:ascii="Times New Roman" w:hAnsi="Times New Roman"/>
                <w:b/>
                <w:bCs/>
                <w:sz w:val="20"/>
                <w:szCs w:val="20"/>
                <w:lang w:val="it-IT"/>
              </w:rPr>
              <w:t>Vien</w:t>
            </w:r>
            <w:r>
              <w:rPr>
                <w:rStyle w:val="None"/>
                <w:rFonts w:ascii="Times New Roman" w:hAnsi="Times New Roman"/>
                <w:b/>
                <w:bCs/>
                <w:sz w:val="20"/>
                <w:szCs w:val="20"/>
              </w:rPr>
              <w:t xml:space="preserve">ību skaits </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2EA4" w:rsidRDefault="00762EA4" w:rsidP="00BC2B01">
            <w:pPr>
              <w:pStyle w:val="BodyA"/>
              <w:spacing w:after="0" w:line="240" w:lineRule="auto"/>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rPr>
              <w:t>Izmaksu pozīcijas cena EUR</w:t>
            </w:r>
          </w:p>
          <w:p w:rsidR="00762EA4" w:rsidRDefault="00762EA4" w:rsidP="00BC2B01">
            <w:pPr>
              <w:pStyle w:val="BodyA"/>
              <w:spacing w:after="0" w:line="240" w:lineRule="auto"/>
              <w:jc w:val="center"/>
            </w:pPr>
            <w:r>
              <w:rPr>
                <w:rStyle w:val="None"/>
                <w:rFonts w:ascii="Times New Roman" w:hAnsi="Times New Roman"/>
                <w:b/>
                <w:bCs/>
                <w:sz w:val="20"/>
                <w:szCs w:val="20"/>
              </w:rPr>
              <w:t>(bez PVN)</w:t>
            </w:r>
          </w:p>
        </w:tc>
      </w:tr>
      <w:tr w:rsidR="00762EA4" w:rsidTr="00BC2B01">
        <w:tblPrEx>
          <w:shd w:val="clear" w:color="auto" w:fill="CED7E7"/>
        </w:tblPrEx>
        <w:trPr>
          <w:trHeight w:val="53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53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31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31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49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31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EA4" w:rsidRDefault="00762EA4" w:rsidP="00BC2B01"/>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31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pPr>
              <w:pStyle w:val="BodyA"/>
              <w:shd w:val="clear" w:color="auto" w:fill="FFFFFF"/>
              <w:tabs>
                <w:tab w:val="left" w:pos="319"/>
              </w:tabs>
              <w:spacing w:after="0" w:line="240" w:lineRule="auto"/>
            </w:pPr>
            <w:r>
              <w:rPr>
                <w:rStyle w:val="None"/>
                <w:rFonts w:ascii="Times New Roman" w:hAnsi="Times New Roman"/>
                <w:b/>
                <w:bCs/>
                <w:sz w:val="20"/>
                <w:szCs w:val="20"/>
                <w:lang w:val="de-DE"/>
              </w:rPr>
              <w:t>Kop</w:t>
            </w:r>
            <w:r>
              <w:rPr>
                <w:rStyle w:val="None"/>
                <w:rFonts w:ascii="Times New Roman" w:hAnsi="Times New Roman"/>
                <w:b/>
                <w:bCs/>
                <w:sz w:val="20"/>
                <w:szCs w:val="20"/>
              </w:rPr>
              <w:t>ējā cena EUR (bez PVN)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31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pPr>
              <w:pStyle w:val="BodyA"/>
              <w:shd w:val="clear" w:color="auto" w:fill="FFFFFF"/>
              <w:tabs>
                <w:tab w:val="left" w:pos="319"/>
              </w:tabs>
              <w:spacing w:after="0" w:line="240" w:lineRule="auto"/>
            </w:pPr>
            <w:r>
              <w:rPr>
                <w:rStyle w:val="None"/>
                <w:rFonts w:ascii="Times New Roman" w:hAnsi="Times New Roman"/>
                <w:b/>
                <w:bCs/>
                <w:sz w:val="20"/>
                <w:szCs w:val="20"/>
              </w:rPr>
              <w:t>21%</w:t>
            </w:r>
            <w:r>
              <w:rPr>
                <w:rStyle w:val="None"/>
                <w:rFonts w:ascii="Times New Roman" w:hAnsi="Times New Roman"/>
                <w:sz w:val="20"/>
                <w:szCs w:val="20"/>
              </w:rPr>
              <w:t xml:space="preserve"> </w:t>
            </w:r>
            <w:r>
              <w:rPr>
                <w:rStyle w:val="None"/>
                <w:rFonts w:ascii="Times New Roman" w:hAnsi="Times New Roman"/>
                <w:b/>
                <w:bCs/>
                <w:sz w:val="20"/>
                <w:szCs w:val="20"/>
              </w:rPr>
              <w:t>PVN summa EUR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r w:rsidR="00762EA4" w:rsidTr="00BC2B01">
        <w:tblPrEx>
          <w:shd w:val="clear" w:color="auto" w:fill="CED7E7"/>
        </w:tblPrEx>
        <w:trPr>
          <w:trHeight w:val="31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pPr>
              <w:pStyle w:val="BodyA"/>
              <w:shd w:val="clear" w:color="auto" w:fill="FFFFFF"/>
              <w:tabs>
                <w:tab w:val="left" w:pos="319"/>
              </w:tabs>
              <w:spacing w:after="0" w:line="240" w:lineRule="auto"/>
            </w:pPr>
            <w:r>
              <w:rPr>
                <w:rStyle w:val="None"/>
                <w:rFonts w:ascii="Times New Roman" w:hAnsi="Times New Roman"/>
                <w:b/>
                <w:bCs/>
                <w:sz w:val="20"/>
                <w:szCs w:val="20"/>
                <w:lang w:val="de-DE"/>
              </w:rPr>
              <w:t>Kop</w:t>
            </w:r>
            <w:r>
              <w:rPr>
                <w:rStyle w:val="None"/>
                <w:rFonts w:ascii="Times New Roman" w:hAnsi="Times New Roman"/>
                <w:b/>
                <w:bCs/>
                <w:sz w:val="20"/>
                <w:szCs w:val="20"/>
              </w:rPr>
              <w:t>ējā cena EUR (t.sk., PVN)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2EA4" w:rsidRDefault="00762EA4" w:rsidP="00BC2B01"/>
        </w:tc>
      </w:tr>
    </w:tbl>
    <w:p w:rsidR="00762EA4" w:rsidRDefault="00762EA4" w:rsidP="00762EA4">
      <w:pPr>
        <w:pStyle w:val="BodyA"/>
        <w:widowControl w:val="0"/>
        <w:shd w:val="clear" w:color="auto" w:fill="FFFFFF"/>
        <w:suppressAutoHyphens/>
        <w:spacing w:after="0" w:line="240" w:lineRule="auto"/>
        <w:ind w:left="216" w:hanging="216"/>
        <w:jc w:val="center"/>
        <w:rPr>
          <w:rFonts w:ascii="Times New Roman" w:eastAsia="Times New Roman" w:hAnsi="Times New Roman" w:cs="Times New Roman"/>
          <w:b/>
          <w:bCs/>
          <w:sz w:val="20"/>
          <w:szCs w:val="20"/>
        </w:rPr>
      </w:pPr>
    </w:p>
    <w:p w:rsidR="00762EA4" w:rsidRDefault="00762EA4" w:rsidP="00762EA4">
      <w:pPr>
        <w:pStyle w:val="BodyA"/>
        <w:widowControl w:val="0"/>
        <w:shd w:val="clear" w:color="auto" w:fill="FFFFFF"/>
        <w:suppressAutoHyphens/>
        <w:spacing w:after="0" w:line="240" w:lineRule="auto"/>
        <w:ind w:left="108" w:hanging="108"/>
        <w:jc w:val="center"/>
        <w:rPr>
          <w:rFonts w:ascii="Times New Roman" w:eastAsia="Times New Roman" w:hAnsi="Times New Roman" w:cs="Times New Roman"/>
          <w:b/>
          <w:bCs/>
          <w:sz w:val="20"/>
          <w:szCs w:val="20"/>
        </w:rPr>
      </w:pPr>
    </w:p>
    <w:p w:rsidR="00762EA4" w:rsidRDefault="00762EA4" w:rsidP="00762EA4">
      <w:pPr>
        <w:pStyle w:val="BodyA"/>
        <w:widowControl w:val="0"/>
        <w:shd w:val="clear" w:color="auto" w:fill="FFFFFF"/>
        <w:suppressAutoHyphens/>
        <w:spacing w:after="0" w:line="240" w:lineRule="auto"/>
        <w:jc w:val="center"/>
        <w:rPr>
          <w:rFonts w:ascii="Times New Roman" w:eastAsia="Times New Roman" w:hAnsi="Times New Roman" w:cs="Times New Roman"/>
          <w:b/>
          <w:bCs/>
          <w:sz w:val="20"/>
          <w:szCs w:val="20"/>
        </w:rPr>
      </w:pPr>
    </w:p>
    <w:p w:rsidR="00762EA4" w:rsidRDefault="00762EA4" w:rsidP="00762EA4">
      <w:pPr>
        <w:pStyle w:val="BodyA"/>
        <w:shd w:val="clear" w:color="auto" w:fill="FFFFFF"/>
        <w:suppressAutoHyphens/>
        <w:spacing w:after="0" w:line="240" w:lineRule="auto"/>
        <w:jc w:val="center"/>
        <w:rPr>
          <w:rFonts w:ascii="Times New Roman" w:eastAsia="Times New Roman" w:hAnsi="Times New Roman" w:cs="Times New Roman"/>
          <w:b/>
          <w:bCs/>
          <w:sz w:val="20"/>
          <w:szCs w:val="20"/>
        </w:rPr>
      </w:pPr>
    </w:p>
    <w:p w:rsidR="00762EA4" w:rsidRDefault="00762EA4" w:rsidP="00762EA4">
      <w:pPr>
        <w:pStyle w:val="BodyA"/>
        <w:shd w:val="clear" w:color="auto" w:fill="FFFFFF"/>
        <w:tabs>
          <w:tab w:val="left" w:pos="319"/>
        </w:tabs>
        <w:suppressAutoHyphens/>
        <w:spacing w:after="0" w:line="240" w:lineRule="auto"/>
        <w:rPr>
          <w:rFonts w:ascii="Times New Roman" w:eastAsia="Times New Roman" w:hAnsi="Times New Roman" w:cs="Times New Roman"/>
          <w:b/>
          <w:bCs/>
          <w:sz w:val="20"/>
          <w:szCs w:val="20"/>
        </w:rPr>
      </w:pPr>
    </w:p>
    <w:p w:rsidR="00762EA4" w:rsidRDefault="00762EA4" w:rsidP="00762EA4">
      <w:pPr>
        <w:pStyle w:val="BodyA"/>
        <w:suppressAutoHyphens/>
        <w:rPr>
          <w:rFonts w:ascii="Times New Roman" w:eastAsia="Times New Roman" w:hAnsi="Times New Roman" w:cs="Times New Roman"/>
        </w:rPr>
      </w:pPr>
    </w:p>
    <w:p w:rsidR="00762EA4" w:rsidRDefault="00762EA4" w:rsidP="00762EA4">
      <w:pPr>
        <w:pStyle w:val="BodyA"/>
        <w:suppressAutoHyphens/>
        <w:jc w:val="both"/>
        <w:rPr>
          <w:rStyle w:val="None"/>
          <w:rFonts w:ascii="Times New Roman" w:eastAsia="Times New Roman" w:hAnsi="Times New Roman" w:cs="Times New Roman"/>
        </w:rPr>
      </w:pPr>
      <w:r>
        <w:rPr>
          <w:rStyle w:val="None"/>
          <w:rFonts w:ascii="Times New Roman" w:hAnsi="Times New Roman"/>
          <w:lang w:val="en-US"/>
        </w:rPr>
        <w:t>2018. gada __</w:t>
      </w:r>
      <w:proofErr w:type="gramStart"/>
      <w:r>
        <w:rPr>
          <w:rStyle w:val="None"/>
          <w:rFonts w:ascii="Times New Roman" w:hAnsi="Times New Roman"/>
          <w:lang w:val="en-US"/>
        </w:rPr>
        <w:t>_._</w:t>
      </w:r>
      <w:proofErr w:type="gramEnd"/>
      <w:r>
        <w:rPr>
          <w:rStyle w:val="None"/>
          <w:rFonts w:ascii="Times New Roman" w:hAnsi="Times New Roman"/>
          <w:lang w:val="en-US"/>
        </w:rPr>
        <w:t>_______________</w:t>
      </w:r>
    </w:p>
    <w:tbl>
      <w:tblPr>
        <w:tblW w:w="90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282"/>
        <w:gridCol w:w="2127"/>
        <w:gridCol w:w="283"/>
        <w:gridCol w:w="2978"/>
      </w:tblGrid>
      <w:tr w:rsidR="00762EA4" w:rsidTr="00BC2B01">
        <w:trPr>
          <w:trHeight w:val="310"/>
        </w:trPr>
        <w:tc>
          <w:tcPr>
            <w:tcW w:w="336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2EA4" w:rsidRDefault="00762EA4" w:rsidP="00BC2B01"/>
        </w:tc>
        <w:tc>
          <w:tcPr>
            <w:tcW w:w="282"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127" w:type="dxa"/>
            <w:tcBorders>
              <w:top w:val="nil"/>
              <w:left w:val="nil"/>
              <w:bottom w:val="single" w:sz="4" w:space="0" w:color="000000"/>
              <w:right w:val="nil"/>
            </w:tcBorders>
            <w:shd w:val="clear" w:color="auto" w:fill="auto"/>
            <w:tcMar>
              <w:top w:w="80" w:type="dxa"/>
              <w:left w:w="80" w:type="dxa"/>
              <w:bottom w:w="80" w:type="dxa"/>
              <w:right w:w="80" w:type="dxa"/>
            </w:tcMar>
          </w:tcPr>
          <w:p w:rsidR="00762EA4" w:rsidRDefault="00762EA4" w:rsidP="00BC2B01"/>
        </w:tc>
        <w:tc>
          <w:tcPr>
            <w:tcW w:w="283"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9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2EA4" w:rsidRDefault="00762EA4" w:rsidP="00BC2B01"/>
        </w:tc>
      </w:tr>
      <w:tr w:rsidR="00762EA4" w:rsidTr="00BC2B01">
        <w:trPr>
          <w:trHeight w:val="407"/>
        </w:trPr>
        <w:tc>
          <w:tcPr>
            <w:tcW w:w="3369"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rPr>
              <w:t>amats</w:t>
            </w:r>
          </w:p>
        </w:tc>
        <w:tc>
          <w:tcPr>
            <w:tcW w:w="282"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127"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rPr>
              <w:t>paraksts</w:t>
            </w:r>
          </w:p>
        </w:tc>
        <w:tc>
          <w:tcPr>
            <w:tcW w:w="283" w:type="dxa"/>
            <w:tcBorders>
              <w:top w:val="nil"/>
              <w:left w:val="nil"/>
              <w:bottom w:val="nil"/>
              <w:right w:val="nil"/>
            </w:tcBorders>
            <w:shd w:val="clear" w:color="auto" w:fill="auto"/>
            <w:tcMar>
              <w:top w:w="80" w:type="dxa"/>
              <w:left w:w="80" w:type="dxa"/>
              <w:bottom w:w="80" w:type="dxa"/>
              <w:right w:w="80" w:type="dxa"/>
            </w:tcMar>
          </w:tcPr>
          <w:p w:rsidR="00762EA4" w:rsidRDefault="00762EA4" w:rsidP="00BC2B01"/>
        </w:tc>
        <w:tc>
          <w:tcPr>
            <w:tcW w:w="2978" w:type="dxa"/>
            <w:tcBorders>
              <w:top w:val="single" w:sz="4" w:space="0" w:color="000000"/>
              <w:left w:val="nil"/>
              <w:bottom w:val="nil"/>
              <w:right w:val="nil"/>
            </w:tcBorders>
            <w:shd w:val="clear" w:color="auto" w:fill="auto"/>
            <w:tcMar>
              <w:top w:w="80" w:type="dxa"/>
              <w:left w:w="80" w:type="dxa"/>
              <w:bottom w:w="80" w:type="dxa"/>
              <w:right w:w="80" w:type="dxa"/>
            </w:tcMar>
          </w:tcPr>
          <w:p w:rsidR="00762EA4" w:rsidRDefault="00762EA4" w:rsidP="00BC2B01">
            <w:pPr>
              <w:pStyle w:val="BodyA"/>
              <w:jc w:val="center"/>
            </w:pPr>
            <w:r>
              <w:rPr>
                <w:rStyle w:val="None"/>
                <w:rFonts w:ascii="Times New Roman" w:hAnsi="Times New Roman"/>
              </w:rPr>
              <w:t>paraksta atš</w:t>
            </w:r>
            <w:r>
              <w:rPr>
                <w:rStyle w:val="None"/>
                <w:rFonts w:ascii="Times New Roman" w:hAnsi="Times New Roman"/>
                <w:lang w:val="sv-SE"/>
              </w:rPr>
              <w:t>ifr</w:t>
            </w:r>
            <w:r>
              <w:rPr>
                <w:rStyle w:val="None"/>
                <w:rFonts w:ascii="Times New Roman" w:hAnsi="Times New Roman"/>
              </w:rPr>
              <w:t>ējums</w:t>
            </w:r>
          </w:p>
        </w:tc>
      </w:tr>
    </w:tbl>
    <w:p w:rsidR="00762EA4" w:rsidRDefault="00762EA4" w:rsidP="00762EA4">
      <w:pPr>
        <w:pStyle w:val="BodyA"/>
        <w:widowControl w:val="0"/>
        <w:suppressAutoHyphens/>
        <w:spacing w:line="240" w:lineRule="auto"/>
        <w:ind w:left="216" w:hanging="216"/>
        <w:rPr>
          <w:rStyle w:val="None"/>
          <w:rFonts w:ascii="Times New Roman" w:eastAsia="Times New Roman" w:hAnsi="Times New Roman" w:cs="Times New Roman"/>
        </w:rPr>
      </w:pPr>
    </w:p>
    <w:p w:rsidR="00762EA4" w:rsidRDefault="00762EA4" w:rsidP="00762EA4">
      <w:pPr>
        <w:pStyle w:val="BodyA"/>
        <w:widowControl w:val="0"/>
        <w:suppressAutoHyphens/>
        <w:spacing w:line="240" w:lineRule="auto"/>
        <w:ind w:left="108" w:hanging="108"/>
        <w:rPr>
          <w:rFonts w:ascii="Times New Roman" w:eastAsia="Times New Roman" w:hAnsi="Times New Roman" w:cs="Times New Roman"/>
        </w:rPr>
      </w:pPr>
    </w:p>
    <w:p w:rsidR="00762EA4" w:rsidRDefault="00762EA4" w:rsidP="00762EA4">
      <w:pPr>
        <w:pStyle w:val="BodyA"/>
        <w:widowControl w:val="0"/>
        <w:suppressAutoHyphens/>
        <w:spacing w:line="240" w:lineRule="auto"/>
        <w:jc w:val="both"/>
        <w:rPr>
          <w:rFonts w:ascii="Times New Roman" w:eastAsia="Times New Roman" w:hAnsi="Times New Roman" w:cs="Times New Roman"/>
        </w:rPr>
      </w:pPr>
    </w:p>
    <w:p w:rsidR="00762EA4" w:rsidRDefault="00762EA4" w:rsidP="00762EA4">
      <w:pPr>
        <w:pStyle w:val="BodyA"/>
        <w:suppressAutoHyphens/>
        <w:rPr>
          <w:rFonts w:ascii="Times New Roman" w:eastAsia="Times New Roman" w:hAnsi="Times New Roman" w:cs="Times New Roman"/>
          <w:i/>
          <w:iCs/>
        </w:rPr>
      </w:pPr>
    </w:p>
    <w:p w:rsidR="00762EA4" w:rsidRDefault="00762EA4" w:rsidP="00762EA4">
      <w:pPr>
        <w:pStyle w:val="BodyA"/>
        <w:suppressAutoHyphens/>
      </w:pPr>
      <w:r>
        <w:rPr>
          <w:rStyle w:val="None"/>
          <w:rFonts w:ascii="Times New Roman" w:hAnsi="Times New Roman"/>
          <w:i/>
          <w:iCs/>
        </w:rPr>
        <w:t>Piedāvā</w:t>
      </w:r>
      <w:r>
        <w:rPr>
          <w:rStyle w:val="None"/>
          <w:rFonts w:ascii="Times New Roman" w:hAnsi="Times New Roman"/>
          <w:i/>
          <w:iCs/>
          <w:lang w:val="en-US"/>
        </w:rPr>
        <w:t>jums ir j</w:t>
      </w:r>
      <w:r>
        <w:rPr>
          <w:rStyle w:val="None"/>
          <w:rFonts w:ascii="Times New Roman" w:hAnsi="Times New Roman"/>
          <w:i/>
          <w:iCs/>
        </w:rPr>
        <w:t>āparaksta Pretendenta vadītā</w:t>
      </w:r>
      <w:r>
        <w:rPr>
          <w:rStyle w:val="None"/>
          <w:rFonts w:ascii="Times New Roman" w:hAnsi="Times New Roman"/>
          <w:i/>
          <w:iCs/>
          <w:lang w:val="pt-PT"/>
        </w:rPr>
        <w:t>jam vai vi</w:t>
      </w:r>
      <w:r>
        <w:rPr>
          <w:rStyle w:val="None"/>
          <w:rFonts w:ascii="Times New Roman" w:hAnsi="Times New Roman"/>
          <w:i/>
          <w:iCs/>
        </w:rPr>
        <w:t xml:space="preserve">ņa pilnvarotai personai, ja piedāvājumu paraksta pilnvarotā </w:t>
      </w:r>
      <w:r>
        <w:rPr>
          <w:rStyle w:val="None"/>
          <w:rFonts w:ascii="Times New Roman" w:hAnsi="Times New Roman"/>
          <w:i/>
          <w:iCs/>
          <w:lang w:val="es-ES_tradnl"/>
        </w:rPr>
        <w:t>persona, oblig</w:t>
      </w:r>
      <w:r>
        <w:rPr>
          <w:rStyle w:val="None"/>
          <w:rFonts w:ascii="Times New Roman" w:hAnsi="Times New Roman"/>
          <w:i/>
          <w:iCs/>
        </w:rPr>
        <w:t>āti jā</w:t>
      </w:r>
      <w:r>
        <w:rPr>
          <w:rStyle w:val="None"/>
          <w:rFonts w:ascii="Times New Roman" w:hAnsi="Times New Roman"/>
          <w:i/>
          <w:iCs/>
          <w:lang w:val="it-IT"/>
        </w:rPr>
        <w:t>pievieno pilnvara.</w:t>
      </w:r>
      <w:bookmarkStart w:id="0" w:name="_GoBack"/>
      <w:bookmarkEnd w:id="0"/>
    </w:p>
    <w:sectPr w:rsidR="00762EA4" w:rsidSect="00762EA4">
      <w:headerReference w:type="default" r:id="rId5"/>
      <w:pgSz w:w="11900" w:h="16840"/>
      <w:pgMar w:top="1418" w:right="851"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Geneva CE">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F6" w:rsidRDefault="00762EA4">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3B0"/>
    <w:multiLevelType w:val="hybridMultilevel"/>
    <w:tmpl w:val="07B859DA"/>
    <w:numStyleLink w:val="ImportedStyle4"/>
  </w:abstractNum>
  <w:abstractNum w:abstractNumId="1" w15:restartNumberingAfterBreak="0">
    <w:nsid w:val="3D105DE2"/>
    <w:multiLevelType w:val="hybridMultilevel"/>
    <w:tmpl w:val="07B859DA"/>
    <w:styleLink w:val="ImportedStyle4"/>
    <w:lvl w:ilvl="0" w:tplc="67384B3E">
      <w:start w:val="1"/>
      <w:numFmt w:val="decimal"/>
      <w:suff w:val="nothing"/>
      <w:lvlText w:val="%1."/>
      <w:lvlJc w:val="left"/>
      <w:pPr>
        <w:tabs>
          <w:tab w:val="left"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 w:ilvl="1" w:tplc="F802FEBA">
      <w:start w:val="1"/>
      <w:numFmt w:val="lowerLetter"/>
      <w:suff w:val="nothing"/>
      <w:lvlText w:val="%2."/>
      <w:lvlJc w:val="left"/>
      <w:pPr>
        <w:tabs>
          <w:tab w:val="left" w:pos="720"/>
        </w:tabs>
        <w:ind w:left="1080" w:hanging="152"/>
      </w:pPr>
      <w:rPr>
        <w:rFonts w:hAnsi="Arial Unicode MS"/>
        <w:b/>
        <w:bCs/>
        <w:caps w:val="0"/>
        <w:smallCaps w:val="0"/>
        <w:strike w:val="0"/>
        <w:dstrike w:val="0"/>
        <w:outline w:val="0"/>
        <w:emboss w:val="0"/>
        <w:imprint w:val="0"/>
        <w:spacing w:val="0"/>
        <w:w w:val="100"/>
        <w:kern w:val="0"/>
        <w:position w:val="0"/>
        <w:highlight w:val="none"/>
        <w:vertAlign w:val="baseline"/>
      </w:rPr>
    </w:lvl>
    <w:lvl w:ilvl="2" w:tplc="CD62D200">
      <w:start w:val="1"/>
      <w:numFmt w:val="lowerRoman"/>
      <w:lvlText w:val="%3."/>
      <w:lvlJc w:val="left"/>
      <w:pPr>
        <w:tabs>
          <w:tab w:val="left" w:pos="720"/>
          <w:tab w:val="num" w:pos="1800"/>
        </w:tabs>
        <w:ind w:left="1842" w:hanging="408"/>
      </w:pPr>
      <w:rPr>
        <w:rFonts w:hAnsi="Arial Unicode MS"/>
        <w:b/>
        <w:bCs/>
        <w:caps w:val="0"/>
        <w:smallCaps w:val="0"/>
        <w:strike w:val="0"/>
        <w:dstrike w:val="0"/>
        <w:outline w:val="0"/>
        <w:emboss w:val="0"/>
        <w:imprint w:val="0"/>
        <w:spacing w:val="0"/>
        <w:w w:val="100"/>
        <w:kern w:val="0"/>
        <w:position w:val="0"/>
        <w:highlight w:val="none"/>
        <w:vertAlign w:val="baseline"/>
      </w:rPr>
    </w:lvl>
    <w:lvl w:ilvl="3" w:tplc="EC147364">
      <w:start w:val="1"/>
      <w:numFmt w:val="decimal"/>
      <w:suff w:val="nothing"/>
      <w:lvlText w:val="%4."/>
      <w:lvlJc w:val="left"/>
      <w:pPr>
        <w:tabs>
          <w:tab w:val="left" w:pos="720"/>
        </w:tabs>
        <w:ind w:left="2520" w:hanging="152"/>
      </w:pPr>
      <w:rPr>
        <w:rFonts w:hAnsi="Arial Unicode MS"/>
        <w:b/>
        <w:bCs/>
        <w:caps w:val="0"/>
        <w:smallCaps w:val="0"/>
        <w:strike w:val="0"/>
        <w:dstrike w:val="0"/>
        <w:outline w:val="0"/>
        <w:emboss w:val="0"/>
        <w:imprint w:val="0"/>
        <w:spacing w:val="0"/>
        <w:w w:val="100"/>
        <w:kern w:val="0"/>
        <w:position w:val="0"/>
        <w:highlight w:val="none"/>
        <w:vertAlign w:val="baseline"/>
      </w:rPr>
    </w:lvl>
    <w:lvl w:ilvl="4" w:tplc="4C688EBC">
      <w:start w:val="1"/>
      <w:numFmt w:val="lowerLetter"/>
      <w:suff w:val="nothing"/>
      <w:lvlText w:val="%5."/>
      <w:lvlJc w:val="left"/>
      <w:pPr>
        <w:tabs>
          <w:tab w:val="left" w:pos="720"/>
        </w:tabs>
        <w:ind w:left="3240" w:hanging="152"/>
      </w:pPr>
      <w:rPr>
        <w:rFonts w:hAnsi="Arial Unicode MS"/>
        <w:b/>
        <w:bCs/>
        <w:caps w:val="0"/>
        <w:smallCaps w:val="0"/>
        <w:strike w:val="0"/>
        <w:dstrike w:val="0"/>
        <w:outline w:val="0"/>
        <w:emboss w:val="0"/>
        <w:imprint w:val="0"/>
        <w:spacing w:val="0"/>
        <w:w w:val="100"/>
        <w:kern w:val="0"/>
        <w:position w:val="0"/>
        <w:highlight w:val="none"/>
        <w:vertAlign w:val="baseline"/>
      </w:rPr>
    </w:lvl>
    <w:lvl w:ilvl="5" w:tplc="40B4CE5A">
      <w:start w:val="1"/>
      <w:numFmt w:val="lowerRoman"/>
      <w:lvlText w:val="%6."/>
      <w:lvlJc w:val="left"/>
      <w:pPr>
        <w:tabs>
          <w:tab w:val="left" w:pos="720"/>
          <w:tab w:val="num" w:pos="3960"/>
        </w:tabs>
        <w:ind w:left="4002" w:hanging="408"/>
      </w:pPr>
      <w:rPr>
        <w:rFonts w:hAnsi="Arial Unicode MS"/>
        <w:b/>
        <w:bCs/>
        <w:caps w:val="0"/>
        <w:smallCaps w:val="0"/>
        <w:strike w:val="0"/>
        <w:dstrike w:val="0"/>
        <w:outline w:val="0"/>
        <w:emboss w:val="0"/>
        <w:imprint w:val="0"/>
        <w:spacing w:val="0"/>
        <w:w w:val="100"/>
        <w:kern w:val="0"/>
        <w:position w:val="0"/>
        <w:highlight w:val="none"/>
        <w:vertAlign w:val="baseline"/>
      </w:rPr>
    </w:lvl>
    <w:lvl w:ilvl="6" w:tplc="E06C10A2">
      <w:start w:val="1"/>
      <w:numFmt w:val="decimal"/>
      <w:suff w:val="nothing"/>
      <w:lvlText w:val="%7."/>
      <w:lvlJc w:val="left"/>
      <w:pPr>
        <w:tabs>
          <w:tab w:val="left" w:pos="720"/>
        </w:tabs>
        <w:ind w:left="4680" w:hanging="152"/>
      </w:pPr>
      <w:rPr>
        <w:rFonts w:hAnsi="Arial Unicode MS"/>
        <w:b/>
        <w:bCs/>
        <w:caps w:val="0"/>
        <w:smallCaps w:val="0"/>
        <w:strike w:val="0"/>
        <w:dstrike w:val="0"/>
        <w:outline w:val="0"/>
        <w:emboss w:val="0"/>
        <w:imprint w:val="0"/>
        <w:spacing w:val="0"/>
        <w:w w:val="100"/>
        <w:kern w:val="0"/>
        <w:position w:val="0"/>
        <w:highlight w:val="none"/>
        <w:vertAlign w:val="baseline"/>
      </w:rPr>
    </w:lvl>
    <w:lvl w:ilvl="7" w:tplc="7F3CC73C">
      <w:start w:val="1"/>
      <w:numFmt w:val="lowerLetter"/>
      <w:suff w:val="nothing"/>
      <w:lvlText w:val="%8."/>
      <w:lvlJc w:val="left"/>
      <w:pPr>
        <w:tabs>
          <w:tab w:val="left" w:pos="720"/>
        </w:tabs>
        <w:ind w:left="5400" w:hanging="152"/>
      </w:pPr>
      <w:rPr>
        <w:rFonts w:hAnsi="Arial Unicode MS"/>
        <w:b/>
        <w:bCs/>
        <w:caps w:val="0"/>
        <w:smallCaps w:val="0"/>
        <w:strike w:val="0"/>
        <w:dstrike w:val="0"/>
        <w:outline w:val="0"/>
        <w:emboss w:val="0"/>
        <w:imprint w:val="0"/>
        <w:spacing w:val="0"/>
        <w:w w:val="100"/>
        <w:kern w:val="0"/>
        <w:position w:val="0"/>
        <w:highlight w:val="none"/>
        <w:vertAlign w:val="baseline"/>
      </w:rPr>
    </w:lvl>
    <w:lvl w:ilvl="8" w:tplc="F8185420">
      <w:start w:val="1"/>
      <w:numFmt w:val="lowerRoman"/>
      <w:lvlText w:val="%9."/>
      <w:lvlJc w:val="left"/>
      <w:pPr>
        <w:tabs>
          <w:tab w:val="left" w:pos="720"/>
          <w:tab w:val="num" w:pos="6120"/>
        </w:tabs>
        <w:ind w:left="6162" w:hanging="40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A4"/>
    <w:rsid w:val="00762EA4"/>
    <w:rsid w:val="00BC2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C8FD-9121-415F-A533-451408D2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2E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EA4"/>
    <w:rPr>
      <w:u w:val="single"/>
    </w:rPr>
  </w:style>
  <w:style w:type="paragraph" w:customStyle="1" w:styleId="HeaderFooter">
    <w:name w:val="Header &amp; Footer"/>
    <w:rsid w:val="00762EA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v-LV"/>
    </w:rPr>
  </w:style>
  <w:style w:type="paragraph" w:customStyle="1" w:styleId="BodyA">
    <w:name w:val="Body A"/>
    <w:rsid w:val="00762EA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 w:type="paragraph" w:styleId="ListParagraph">
    <w:name w:val="List Paragraph"/>
    <w:rsid w:val="00762EA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lv-LV"/>
    </w:rPr>
  </w:style>
  <w:style w:type="character" w:customStyle="1" w:styleId="None">
    <w:name w:val="None"/>
    <w:rsid w:val="00762EA4"/>
  </w:style>
  <w:style w:type="character" w:customStyle="1" w:styleId="Hyperlink0">
    <w:name w:val="Hyperlink.0"/>
    <w:basedOn w:val="None"/>
    <w:rsid w:val="00762EA4"/>
    <w:rPr>
      <w:rFonts w:ascii="Times New Roman" w:eastAsia="Times New Roman" w:hAnsi="Times New Roman" w:cs="Times New Roman"/>
      <w:kern w:val="1"/>
      <w:sz w:val="24"/>
      <w:szCs w:val="24"/>
    </w:rPr>
  </w:style>
  <w:style w:type="paragraph" w:customStyle="1" w:styleId="BodyText4">
    <w:name w:val="Body Text4"/>
    <w:rsid w:val="00762EA4"/>
    <w:pPr>
      <w:widowControl w:val="0"/>
      <w:pBdr>
        <w:top w:val="nil"/>
        <w:left w:val="nil"/>
        <w:bottom w:val="nil"/>
        <w:right w:val="nil"/>
        <w:between w:val="nil"/>
        <w:bar w:val="nil"/>
      </w:pBdr>
      <w:shd w:val="clear" w:color="auto" w:fill="FFFFFF"/>
      <w:spacing w:after="1680" w:line="394" w:lineRule="exact"/>
      <w:jc w:val="right"/>
    </w:pPr>
    <w:rPr>
      <w:rFonts w:ascii="Calibri" w:eastAsia="Calibri" w:hAnsi="Calibri" w:cs="Calibri"/>
      <w:color w:val="000000"/>
      <w:sz w:val="21"/>
      <w:szCs w:val="21"/>
      <w:u w:color="000000"/>
      <w:bdr w:val="nil"/>
      <w:lang w:eastAsia="lv-LV"/>
    </w:rPr>
  </w:style>
  <w:style w:type="paragraph" w:styleId="Header">
    <w:name w:val="header"/>
    <w:link w:val="HeaderChar"/>
    <w:rsid w:val="00762EA4"/>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lang w:eastAsia="lv-LV"/>
    </w:rPr>
  </w:style>
  <w:style w:type="character" w:customStyle="1" w:styleId="HeaderChar">
    <w:name w:val="Header Char"/>
    <w:basedOn w:val="DefaultParagraphFont"/>
    <w:link w:val="Header"/>
    <w:rsid w:val="00762EA4"/>
    <w:rPr>
      <w:rFonts w:ascii="Calibri" w:eastAsia="Calibri" w:hAnsi="Calibri" w:cs="Calibri"/>
      <w:color w:val="000000"/>
      <w:u w:color="000000"/>
      <w:bdr w:val="nil"/>
      <w:lang w:eastAsia="lv-LV"/>
    </w:rPr>
  </w:style>
  <w:style w:type="numbering" w:customStyle="1" w:styleId="ImportedStyle4">
    <w:name w:val="Imported Style 4"/>
    <w:rsid w:val="00762E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13894</Words>
  <Characters>7921</Characters>
  <Application>Microsoft Office Word</Application>
  <DocSecurity>0</DocSecurity>
  <Lines>66</Lines>
  <Paragraphs>43</Paragraphs>
  <ScaleCrop>false</ScaleCrop>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2018-09-13T09:58:00Z</dcterms:created>
  <dcterms:modified xsi:type="dcterms:W3CDTF">2018-09-13T09:59:00Z</dcterms:modified>
</cp:coreProperties>
</file>