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BC" w:rsidRDefault="002718BC" w:rsidP="002718BC">
      <w:pPr>
        <w:pStyle w:val="BodyA"/>
        <w:suppressAutoHyphens/>
        <w:spacing w:after="0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1. pielikums</w:t>
      </w:r>
    </w:p>
    <w:p w:rsidR="002718BC" w:rsidRDefault="002718BC" w:rsidP="002718BC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Pieteikums iepirkuma konkursam</w:t>
      </w:r>
    </w:p>
    <w:p w:rsidR="002718BC" w:rsidRDefault="002718BC" w:rsidP="002718BC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b/>
          <w:bCs/>
          <w:kern w:val="16"/>
          <w:sz w:val="36"/>
          <w:szCs w:val="36"/>
        </w:rPr>
        <w:t>„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 xml:space="preserve">Foto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tehnikas iegā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de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KA Latvijas Kultūras koledžas vajadzībām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”</w:t>
      </w:r>
    </w:p>
    <w:p w:rsidR="002718BC" w:rsidRDefault="002718BC" w:rsidP="002718BC">
      <w:pPr>
        <w:pStyle w:val="BodyA"/>
        <w:suppressAutoHyphens/>
        <w:spacing w:before="20" w:line="240" w:lineRule="auto"/>
        <w:ind w:left="180" w:hanging="18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Visp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ārēja informācija par Pretendentu: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(aizpildā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mas visas ieda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ļas)</w:t>
      </w:r>
    </w:p>
    <w:tbl>
      <w:tblPr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2636"/>
        <w:gridCol w:w="2950"/>
        <w:gridCol w:w="2950"/>
      </w:tblGrid>
      <w:tr w:rsidR="002718BC" w:rsidTr="009F3DCD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Pretendenta nosaukums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Reģistrācijas Nr.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Nod. maks. reģistrācijas Nr.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49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Juridiskā adrese, pasta indekss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48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  <w:lang w:val="da-DK"/>
              </w:rPr>
              <w:t>Faktisk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ā adrese, pasta indekss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Bankas konta Nr.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Bankas kods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Bankas nosaukums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49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Kontaktpersona (vārds, uzvārds)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Ie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ņ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emamais</w:t>
            </w:r>
            <w:proofErr w:type="spellEnd"/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amats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Tālruņa Nr.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E-pasta adrese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</w:tbl>
    <w:p w:rsidR="002718BC" w:rsidRDefault="002718BC" w:rsidP="002718BC">
      <w:pPr>
        <w:pStyle w:val="BodyA"/>
        <w:widowControl w:val="0"/>
        <w:suppressAutoHyphens/>
        <w:spacing w:before="20" w:line="240" w:lineRule="auto"/>
        <w:ind w:left="216" w:hanging="216"/>
        <w:jc w:val="center"/>
        <w:rPr>
          <w:rStyle w:val="None"/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Ar šo pieteikuma vēstuli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Pretendents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</w:t>
      </w:r>
    </w:p>
    <w:p w:rsidR="002718BC" w:rsidRDefault="002718BC" w:rsidP="002718BC">
      <w:pPr>
        <w:pStyle w:val="BodyA"/>
        <w:suppressAutoHyphens/>
        <w:spacing w:after="0"/>
        <w:rPr>
          <w:rStyle w:val="None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sz w:val="24"/>
          <w:szCs w:val="24"/>
        </w:rPr>
        <w:t>1. Piedalā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iepirkum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„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Foto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tehnikas iegā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de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KA Latvijas Kultūras koledžas vajadzībām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”</w:t>
      </w:r>
    </w:p>
    <w:p w:rsidR="002718BC" w:rsidRDefault="002718BC" w:rsidP="002718BC">
      <w:pPr>
        <w:pStyle w:val="BodyA"/>
        <w:suppressAutoHyphens/>
        <w:spacing w:after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 Piekrī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 iepirkuma proced</w:t>
      </w:r>
      <w:r>
        <w:rPr>
          <w:rStyle w:val="None"/>
          <w:rFonts w:ascii="Times New Roman" w:hAnsi="Times New Roman"/>
          <w:sz w:val="24"/>
          <w:szCs w:val="24"/>
        </w:rPr>
        <w:t xml:space="preserve">ūras nolikuma prasībām un garantē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proced</w:t>
      </w:r>
      <w:r>
        <w:rPr>
          <w:rStyle w:val="None"/>
          <w:rFonts w:ascii="Times New Roman" w:hAnsi="Times New Roman"/>
          <w:sz w:val="24"/>
          <w:szCs w:val="24"/>
        </w:rPr>
        <w:t>ūras Nolikuma prasību izpildi. Iepirkuma Nolikuma nosacījumi ir skaidri un saprotami.</w:t>
      </w:r>
    </w:p>
    <w:p w:rsidR="002718BC" w:rsidRDefault="002718BC" w:rsidP="002718BC">
      <w:pPr>
        <w:pStyle w:val="BodyA"/>
        <w:tabs>
          <w:tab w:val="left" w:pos="362"/>
        </w:tabs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 Apliecina, ka nav likvidē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ts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pasludin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āts par maksātnespējīgu, tā saimnieciskā darbība nav apturē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ta vai p</w:t>
      </w:r>
      <w:r>
        <w:rPr>
          <w:rStyle w:val="None"/>
          <w:rFonts w:ascii="Times New Roman" w:hAnsi="Times New Roman"/>
          <w:sz w:val="24"/>
          <w:szCs w:val="24"/>
        </w:rPr>
        <w:t>ārtraukta, vai nav uzsākta tiesvedī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ba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par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pretendenta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bankrotu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Pretendents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ar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sp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ēkā stājušos tiesas spriedumu nav atzī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ts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par vain</w:t>
      </w:r>
      <w:r>
        <w:rPr>
          <w:rStyle w:val="None"/>
          <w:rFonts w:ascii="Times New Roman" w:hAnsi="Times New Roman"/>
          <w:sz w:val="24"/>
          <w:szCs w:val="24"/>
        </w:rPr>
        <w:t>īgu koruptīva rakstura noziedzī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gos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nodar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jumos,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kr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āpnieciskās darbībā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finan</w:t>
      </w:r>
      <w:r>
        <w:rPr>
          <w:rStyle w:val="None"/>
          <w:rFonts w:ascii="Times New Roman" w:hAnsi="Times New Roman"/>
          <w:sz w:val="24"/>
          <w:szCs w:val="24"/>
        </w:rPr>
        <w:t>šu jomā, noziedzī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gi ieg</w:t>
      </w:r>
      <w:r>
        <w:rPr>
          <w:rStyle w:val="None"/>
          <w:rFonts w:ascii="Times New Roman" w:hAnsi="Times New Roman"/>
          <w:sz w:val="24"/>
          <w:szCs w:val="24"/>
        </w:rPr>
        <w:t>ūtu līdzekļ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 legaliz</w:t>
      </w:r>
      <w:r>
        <w:rPr>
          <w:rStyle w:val="None"/>
          <w:rFonts w:ascii="Times New Roman" w:hAnsi="Times New Roman"/>
          <w:sz w:val="24"/>
          <w:szCs w:val="24"/>
        </w:rPr>
        <w:t xml:space="preserve">ācijā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vai l</w:t>
      </w:r>
      <w:r>
        <w:rPr>
          <w:rStyle w:val="None"/>
          <w:rFonts w:ascii="Times New Roman" w:hAnsi="Times New Roman"/>
          <w:sz w:val="24"/>
          <w:szCs w:val="24"/>
        </w:rPr>
        <w:t xml:space="preserve">īdzdalībā noziedzīgā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organiz</w:t>
      </w:r>
      <w:r>
        <w:rPr>
          <w:rStyle w:val="None"/>
          <w:rFonts w:ascii="Times New Roman" w:hAnsi="Times New Roman"/>
          <w:sz w:val="24"/>
          <w:szCs w:val="24"/>
        </w:rPr>
        <w:t>ācijā.</w:t>
      </w:r>
    </w:p>
    <w:p w:rsidR="002718BC" w:rsidRDefault="002718BC" w:rsidP="002718BC">
      <w:pPr>
        <w:pStyle w:val="BodyA"/>
        <w:tabs>
          <w:tab w:val="left" w:pos="284"/>
        </w:tabs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Pretendents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ap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emas, iepirkuma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ēgš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gad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ījumā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, pild</w:t>
      </w:r>
      <w:r>
        <w:rPr>
          <w:rStyle w:val="None"/>
          <w:rFonts w:ascii="Times New Roman" w:hAnsi="Times New Roman"/>
          <w:sz w:val="24"/>
          <w:szCs w:val="24"/>
        </w:rPr>
        <w:t xml:space="preserve">īt visus Nolikumā (t.sk. tehniskajā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>ācijā) izklāstī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tos nosac</w:t>
      </w:r>
      <w:r>
        <w:rPr>
          <w:rStyle w:val="None"/>
          <w:rFonts w:ascii="Times New Roman" w:hAnsi="Times New Roman"/>
          <w:sz w:val="24"/>
          <w:szCs w:val="24"/>
        </w:rPr>
        <w:t>ījumus.</w:t>
      </w:r>
    </w:p>
    <w:p w:rsidR="002718BC" w:rsidRDefault="002718BC" w:rsidP="002718BC">
      <w:pPr>
        <w:pStyle w:val="BodyA"/>
        <w:tabs>
          <w:tab w:val="left" w:pos="362"/>
        </w:tabs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5.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Pretendents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apliecina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ka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visas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pied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āvājumam pievienotās dokumentu kopijas ir pareizas, iesniegtā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>ācija ir patiesa un Pretendents neliks šķēršļ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us inform</w:t>
      </w:r>
      <w:r>
        <w:rPr>
          <w:rStyle w:val="None"/>
          <w:rFonts w:ascii="Times New Roman" w:hAnsi="Times New Roman"/>
          <w:sz w:val="24"/>
          <w:szCs w:val="24"/>
        </w:rPr>
        <w:t>ācijas pārbaudei.</w:t>
      </w:r>
    </w:p>
    <w:p w:rsidR="002718BC" w:rsidRDefault="002718BC" w:rsidP="002718BC">
      <w:pPr>
        <w:pStyle w:val="Header"/>
        <w:suppressAutoHyphens/>
        <w:spacing w:before="20" w:line="27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Pretendents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apliecina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ka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augst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 nor</w:t>
      </w:r>
      <w:r>
        <w:rPr>
          <w:rStyle w:val="None"/>
          <w:rFonts w:ascii="Times New Roman" w:hAnsi="Times New Roman"/>
          <w:sz w:val="24"/>
          <w:szCs w:val="24"/>
        </w:rPr>
        <w:t xml:space="preserve">ādītā </w:t>
      </w:r>
      <w:r>
        <w:rPr>
          <w:rStyle w:val="None"/>
          <w:rFonts w:ascii="Times New Roman" w:hAnsi="Times New Roman"/>
          <w:b/>
          <w:bCs/>
          <w:sz w:val="24"/>
          <w:szCs w:val="24"/>
          <w:lang w:val="sv-SE"/>
        </w:rPr>
        <w:t>elektronisk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pasta</w:t>
      </w:r>
      <w:r>
        <w:rPr>
          <w:rStyle w:val="None"/>
          <w:rFonts w:ascii="Times New Roman" w:hAnsi="Times New Roman"/>
          <w:sz w:val="24"/>
          <w:szCs w:val="24"/>
        </w:rPr>
        <w:t xml:space="preserve"> adrese tiks izmantoti sarakstes nodrošināš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anai Iepirkuma ietvaros.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</w:p>
    <w:p w:rsidR="002718BC" w:rsidRDefault="002718BC" w:rsidP="002718BC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2018.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gada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___</w:t>
      </w:r>
      <w:proofErr w:type="gramStart"/>
      <w:r>
        <w:rPr>
          <w:rStyle w:val="None"/>
          <w:rFonts w:ascii="Times New Roman" w:hAnsi="Times New Roman"/>
          <w:sz w:val="24"/>
          <w:szCs w:val="24"/>
          <w:lang w:val="en-US"/>
        </w:rPr>
        <w:t>_._</w:t>
      </w:r>
      <w:proofErr w:type="gramEnd"/>
      <w:r>
        <w:rPr>
          <w:rStyle w:val="None"/>
          <w:rFonts w:ascii="Times New Roman" w:hAnsi="Times New Roman"/>
          <w:sz w:val="24"/>
          <w:szCs w:val="24"/>
          <w:lang w:val="en-US"/>
        </w:rPr>
        <w:t>________________</w:t>
      </w:r>
    </w:p>
    <w:tbl>
      <w:tblPr>
        <w:tblW w:w="906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8"/>
        <w:gridCol w:w="286"/>
        <w:gridCol w:w="3032"/>
        <w:gridCol w:w="285"/>
        <w:gridCol w:w="2618"/>
      </w:tblGrid>
      <w:tr w:rsidR="002718BC" w:rsidTr="009F3DCD">
        <w:trPr>
          <w:trHeight w:val="534"/>
        </w:trPr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585"/>
        </w:trPr>
        <w:tc>
          <w:tcPr>
            <w:tcW w:w="2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lastRenderedPageBreak/>
              <w:t>amats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3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Paraksts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paraksta atš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ifr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ējums</w:t>
            </w:r>
          </w:p>
        </w:tc>
      </w:tr>
    </w:tbl>
    <w:p w:rsidR="002718BC" w:rsidRDefault="002718BC" w:rsidP="002718BC">
      <w:pPr>
        <w:pStyle w:val="BodyA"/>
        <w:widowControl w:val="0"/>
        <w:suppressAutoHyphens/>
        <w:spacing w:after="0"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2718BC" w:rsidRDefault="002718BC" w:rsidP="002718BC">
      <w:pPr>
        <w:pStyle w:val="BodyA"/>
        <w:widowControl w:val="0"/>
        <w:suppressAutoHyphens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2718BC" w:rsidRDefault="002718BC" w:rsidP="002718BC">
      <w:pPr>
        <w:pStyle w:val="BodyA"/>
        <w:suppressAutoHyphens/>
        <w:sectPr w:rsidR="002718BC">
          <w:headerReference w:type="default" r:id="rId5"/>
          <w:footerReference w:type="default" r:id="rId6"/>
          <w:headerReference w:type="first" r:id="rId7"/>
          <w:footerReference w:type="first" r:id="rId8"/>
          <w:pgSz w:w="11900" w:h="16840"/>
          <w:pgMar w:top="1134" w:right="1134" w:bottom="1134" w:left="1701" w:header="709" w:footer="709" w:gutter="0"/>
          <w:cols w:space="720"/>
          <w:titlePg/>
        </w:sectPr>
      </w:pPr>
    </w:p>
    <w:p w:rsidR="002718BC" w:rsidRDefault="002718BC" w:rsidP="002718BC">
      <w:pPr>
        <w:pStyle w:val="BodyA"/>
        <w:suppressAutoHyphens/>
        <w:spacing w:after="0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lastRenderedPageBreak/>
        <w:t>2. pielikums</w:t>
      </w:r>
    </w:p>
    <w:p w:rsidR="002718BC" w:rsidRDefault="002718BC" w:rsidP="002718BC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Tehniskā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ācija – Tehniskais piedāvājums</w:t>
      </w:r>
    </w:p>
    <w:p w:rsidR="002718BC" w:rsidRDefault="002718BC" w:rsidP="002718BC">
      <w:pPr>
        <w:pStyle w:val="ListParagraph"/>
        <w:suppressAutoHyphens/>
        <w:jc w:val="center"/>
        <w:rPr>
          <w:rStyle w:val="None"/>
          <w:rFonts w:ascii="Times New Roman" w:eastAsia="Times New Roman" w:hAnsi="Times New Roman" w:cs="Times New Roman"/>
          <w:b/>
          <w:bCs/>
          <w:color w:val="FF0000"/>
          <w:kern w:val="16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„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 xml:space="preserve">Foto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tehnikas iegā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de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KA Latvijas Kultūras koledžas vajadzībām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”</w:t>
      </w:r>
    </w:p>
    <w:p w:rsidR="002718BC" w:rsidRDefault="002718BC" w:rsidP="002718BC">
      <w:pPr>
        <w:pStyle w:val="ListParagraph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Visp</w:t>
      </w:r>
      <w:r>
        <w:rPr>
          <w:rFonts w:ascii="Times New Roman" w:hAnsi="Times New Roman"/>
          <w:sz w:val="24"/>
          <w:szCs w:val="24"/>
        </w:rPr>
        <w:t>ārīgās prasības</w:t>
      </w:r>
    </w:p>
    <w:p w:rsidR="002718BC" w:rsidRDefault="002718BC" w:rsidP="002718BC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Pretendents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Fonts w:ascii="Times New Roman" w:hAnsi="Times New Roman"/>
          <w:sz w:val="24"/>
          <w:szCs w:val="24"/>
        </w:rPr>
        <w:t xml:space="preserve">āvā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un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ap</w:t>
      </w:r>
      <w:proofErr w:type="spellEnd"/>
      <w:r>
        <w:rPr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emas veikt iepirkuma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„ </w:t>
      </w:r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 xml:space="preserve">Foto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tehnikas</w:t>
      </w:r>
      <w:proofErr w:type="gram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iegāde LKA Latvijas Kultū</w:t>
      </w:r>
      <w:r>
        <w:rPr>
          <w:rStyle w:val="None"/>
          <w:rFonts w:ascii="Times New Roman" w:hAnsi="Times New Roman"/>
          <w:b/>
          <w:bCs/>
          <w:sz w:val="24"/>
          <w:szCs w:val="24"/>
          <w:lang w:val="sv-SE"/>
        </w:rPr>
        <w:t xml:space="preserve">ras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koledžas vajadzībām” (</w:t>
      </w:r>
      <w:r>
        <w:rPr>
          <w:rFonts w:ascii="Times New Roman" w:hAnsi="Times New Roman"/>
          <w:sz w:val="24"/>
          <w:szCs w:val="24"/>
        </w:rPr>
        <w:t xml:space="preserve">iepirkuma identifikācijas Nr.: </w:t>
      </w:r>
      <w:r>
        <w:rPr>
          <w:rStyle w:val="None"/>
          <w:rFonts w:ascii="Times New Roman" w:hAnsi="Times New Roman"/>
          <w:b/>
          <w:bCs/>
          <w:sz w:val="24"/>
          <w:szCs w:val="24"/>
          <w:u w:color="FF0000"/>
        </w:rPr>
        <w:t xml:space="preserve">07-11-8-1) </w:t>
      </w:r>
      <w:r>
        <w:rPr>
          <w:rStyle w:val="None"/>
          <w:rFonts w:ascii="Times New Roman" w:hAnsi="Times New Roman"/>
          <w:b/>
          <w:bCs/>
          <w:color w:val="FF0000"/>
          <w:sz w:val="24"/>
          <w:szCs w:val="24"/>
          <w:u w:color="FF0000"/>
        </w:rPr>
        <w:t> </w:t>
      </w:r>
      <w:r>
        <w:rPr>
          <w:rFonts w:ascii="Times New Roman" w:hAnsi="Times New Roman"/>
          <w:sz w:val="24"/>
          <w:szCs w:val="24"/>
        </w:rPr>
        <w:t>nolikuma 8.3. punktā noteiktā iepirkuma priekšmeta izpildi – skaņu tehnikas piegādi, un garantijas nodrošināšanu, saskaņā ar šādu tehnisko specifikāciju:</w:t>
      </w:r>
    </w:p>
    <w:p w:rsidR="002718BC" w:rsidRDefault="002718BC" w:rsidP="002718BC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pt-PT"/>
        </w:rPr>
      </w:pPr>
      <w:r>
        <w:rPr>
          <w:rStyle w:val="None"/>
          <w:rFonts w:ascii="Times New Roman" w:hAnsi="Times New Roman"/>
          <w:b/>
          <w:bCs/>
          <w:lang w:val="pt-PT"/>
        </w:rPr>
        <w:t>Pretendentam ir j</w:t>
      </w:r>
      <w:r>
        <w:rPr>
          <w:rFonts w:ascii="Times New Roman" w:hAnsi="Times New Roman"/>
          <w:b/>
          <w:bCs/>
        </w:rPr>
        <w:t xml:space="preserve">āveic sekojoša Foto </w:t>
      </w:r>
      <w:r>
        <w:rPr>
          <w:rStyle w:val="None"/>
          <w:rFonts w:ascii="Times New Roman" w:hAnsi="Times New Roman"/>
          <w:b/>
          <w:bCs/>
          <w:lang w:val="sv-SE"/>
        </w:rPr>
        <w:t xml:space="preserve">  </w:t>
      </w:r>
      <w:r>
        <w:rPr>
          <w:rFonts w:ascii="Times New Roman" w:hAnsi="Times New Roman"/>
          <w:b/>
          <w:bCs/>
        </w:rPr>
        <w:t>tehnikas piegāde:</w:t>
      </w:r>
    </w:p>
    <w:p w:rsidR="002718BC" w:rsidRDefault="002718BC" w:rsidP="002718BC">
      <w:pPr>
        <w:pStyle w:val="BodyA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tbl>
      <w:tblPr>
        <w:tblW w:w="10007" w:type="dxa"/>
        <w:tblInd w:w="-5" w:type="dxa"/>
        <w:tblLook w:val="04A0" w:firstRow="1" w:lastRow="0" w:firstColumn="1" w:lastColumn="0" w:noHBand="0" w:noVBand="1"/>
      </w:tblPr>
      <w:tblGrid>
        <w:gridCol w:w="444"/>
        <w:gridCol w:w="1562"/>
        <w:gridCol w:w="677"/>
        <w:gridCol w:w="701"/>
        <w:gridCol w:w="2925"/>
        <w:gridCol w:w="892"/>
        <w:gridCol w:w="2806"/>
      </w:tblGrid>
      <w:tr w:rsidR="002718BC" w:rsidRPr="00836934" w:rsidTr="009F3DCD">
        <w:trPr>
          <w:trHeight w:val="8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</w:pPr>
            <w:r w:rsidRPr="00836934">
              <w:rPr>
                <w:rFonts w:eastAsia="Times New Roman" w:cs="Calibri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  <w:t>Nr.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</w:pPr>
            <w:r w:rsidRPr="00836934">
              <w:rPr>
                <w:rFonts w:eastAsia="Times New Roman" w:cs="Calibri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  <w:t>Nosaukums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</w:pPr>
            <w:r w:rsidRPr="00836934">
              <w:rPr>
                <w:rFonts w:eastAsia="Times New Roman" w:cs="Calibri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  <w:t>Mērv.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</w:pPr>
            <w:r w:rsidRPr="00836934">
              <w:rPr>
                <w:rFonts w:eastAsia="Times New Roman" w:cs="Calibri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  <w:t>Daudz.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</w:pPr>
            <w:r w:rsidRPr="00836934">
              <w:rPr>
                <w:rFonts w:eastAsia="Times New Roman" w:cs="Calibri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  <w:t>Tehniskā specifikācija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</w:pPr>
            <w:r w:rsidRPr="00836934">
              <w:rPr>
                <w:rFonts w:eastAsia="Times New Roman" w:cs="Calibri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  <w:t>Garantija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</w:pPr>
            <w:r w:rsidRPr="00836934">
              <w:rPr>
                <w:rFonts w:eastAsia="Times New Roman" w:cs="Calibri"/>
                <w:b/>
                <w:bCs/>
                <w:color w:val="000000"/>
                <w:sz w:val="16"/>
                <w:szCs w:val="16"/>
                <w:bdr w:val="none" w:sz="0" w:space="0" w:color="auto"/>
                <w:lang w:val="lv-LV" w:eastAsia="lv-LV"/>
              </w:rPr>
              <w:t>Piedāvājums (t.sk., garantijas termiņš)</w:t>
            </w:r>
          </w:p>
        </w:tc>
      </w:tr>
      <w:tr w:rsidR="002718BC" w:rsidRPr="00836934" w:rsidTr="009F3DCD">
        <w:trPr>
          <w:trHeight w:val="64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Video kameras ekrāns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Ikan DH7 7" Full HD HDMI Monitor with 4k signal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vai ekvivalentu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Ekrāna izmērs 7 collas vai 17.8 centimetri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Izšķirtspēja ne mazāka kā 1920 x 1080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Proporcija 16:9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Backlight LED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Atbildes laiks ne lielāks kā 20ms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Spilgtums ne mazāks kā 300 nit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Korpus izgatavots no materiāla - heavy-duty plastic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Skata leņķis ne mažak kā 178 horizontāli/ 178 vertikāli (grādos)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Krāsu daudzums ne mazāk kā 16,7 milijoni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Krāsu sistēma PAL/NTSC?SECAM (auto -detected)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Kontrasts 800:1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Pikseļa izmērs ne lielāks kā 0,01925 x0.05775 milimetri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Ieejas spriegums no 7 līdz 24 Volti (Līdzspriegums)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Izkliedētā jauda ne vairāk kā 6W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Darba temeratūra no 0 līdz 50 grādi pēc celsija skalas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Izmēri ne lielākai kā 18.2 x 11.4 x 1.5 centimetri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Datu Ieeja USB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Skaņas ieeja JACK 3.5 milimetri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Video ieeja/izeja HDMI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Svars ne lielākas kā 260 grami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Opcijas: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1.Histogram &amp; audio level meters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2. Peaking, false color, Clip guides &amp; pixel to pixel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3. DSLR scaling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4. Underscan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Komplektā iekļauts: saules sargs(sunhood), soma, baterija un baterijas lādētājs.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Garantijas laiks ne mazāk kā 2 gadi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Video kameras statīvs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Benro S8 Tandem kit vai ekvivalentu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Max nestpēja - ne mazāk kā 17.64 lb (8 kg)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Min augstums - ne vairāk kā 28.35 in (72 cm)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Max augstums - ne mazāk kā 63 in (160 cm)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Garums saliktā stāvoklī - ne vairāk kā 34.6 in (88 cm)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Kāju slēģu sistēma -Twist Lever Lock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vadīklis (Drag Control) - Independent 4-step (0 to 3) pan and tilt drag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Separate Panning Lock -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Quick Release (QR) Plate - Slide-In Video (QR13) 1/4-20 &amp; 3/8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Pamatnes skrūves izmērs - 75mm Bowl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Svars - ne vairāk kā 14.55 lb (6.6 kg)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Digitālās spoguļkameras zibspuldze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Canon Speedlite 600EX-RT vai ekvivalentu)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9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Savietojamība - ar Canon spoguļkameru saderīga elektroniskā zibspuldzes vadības sistēma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Stiprinājums uz spoguļkameras - Ir ar ātrās </w:t>
            </w: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lastRenderedPageBreak/>
              <w:t>fiksācijas stiprinājumu, izmantojot zibspuldzes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ligzdu (hot shoe) kameras korpusa augšpusē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Fokusa attāluma pārklājums - Ir 14 mm - 200 mm (uzņemot ar 36 mm x 24 mm attēla matricas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kameru)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Ekspozīcijas (izstarotās gaismas daudzuma) vadība - Lietotāja iestatāms režīms, E-TTL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automātiskais režīms, E-TTL II automātiskais režīms.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Gaismas izstarotāja virziena maiņa - vertikaļi no - 7° līdz +90° , pa kreisi līdz 180°, pa labi līdz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180°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Svars - ne vairāk kā 435 grammi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Komplektā soma zibspuldzes transportēšanai un uzglabāšanai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4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Digitālās spoguļkamera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Canon EOS 80D vai ekvivalentu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Komlektācijā Cameras BODY + 18-135 objektīvs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Body tips Mid-size SLR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Max izšķirtspēja vismaz 6000 x 4000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Bides proporcijas w:h(platums:augstums) 1:1, 4:3, 3:2, 16:9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Efektīvie pikseļi vismaz 24 megapixels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Max pikseļi 26 megapixels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Sensora izmērs vismaz APS-C (22.5 x 15 mm)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Sensora tips CMOS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Procesors DIGIC 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ISO Auto, 100-16000 (expands to 25600)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Paaugstināts ISO (max) 25600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White balanceiestatījumi vismaz 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Pielāgotais white balance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Attēla stabilizācijā Nē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Nesakomresētas bildes formāts RAW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Bildes ar palašinājumu JPEG kvalitāte labs, normāls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12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Auto fokuss: Contrast Detect (sensor), Phase Detect, Multi-area, Center,  Selective single-point, Tracking, Single,  Continuous, Touch, Face Detection, Live View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Manuālais fokuss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Fokusa punktu skaits Vismaz 45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Objektīva stiprinājums Canon EF/EF-S vai ekvivalents, kas saderīgs ar Canon objektīviem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Fokusa garuma reizinātājs vismaz 1.6×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Manipuliējams LCD displejs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Ekrāna izmērs vismaz 3′′ collas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Ekrāna punktu skaits vismaz 1,040,000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Skārienjūtīgs ekrāns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Ekrāna tips TFT LCD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Tiešskats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Skatu meklētājā tips Optical (pentaprism)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Skatu meklētāja pārklājums 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Skatu meklētāja palielinājums vismaz 0.95× (0.59× 35mm equiv.)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Minimālais shutter ātrums ne vairāk kā 30 sec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Maksimālais shutter ātrums vismaz 1/8000 sec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Aperture prioritāte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Shutter prioritāte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Manuālais ekspozīcijas režīms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Tēmas/ainas režīms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Iebūvēts zibspuldze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Zibspuldzes diapazons vismaz 12.00 m (at ISO 100)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Ārējā zibspuldzes pieslēgšanas Jā ( "hot shoe" pieslēgums)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Nepārtraukta bildēšans režīms 7.0 fps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Timers Jā (2 vai 10 sec)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Metering režīmi: Multi, Center-weighted, Spot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Exposure kompensācijas ±5 (pie 1/3 EV, 1/2 EV soļi)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Izķirtspēja vismaz 1920 x 1080 (60p, 30p, 24p), 1280 x 720 (60p, 30p)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Formārts MPEG-4, H.264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Videogrāfija protokols visi ALL-I vai IPB codecs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Mikrofons Stereo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Skaļruņi Mono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Datu glabāšanas tipi SD/SDHC/SDXC (UHS-I support)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USB pieslēgvieta vismaz USB 2.0 (480 Mbit/sec)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HDMI pieslēgvieta Jā (mini-HDMI)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Mikrofona pieslēgvieta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Austiņu pieslēgvieta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Bezvada pieslēgums Iebūvēts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Bezvada pieslēguma protokls 802.11/b/g/n + NFC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Attālinātā kontrole Jā (ar vadu, bez vada vai caur viedtālruni)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Videi nekaitīgs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Baterijas apraksts LP-E6N lithium-ion baterija &amp; lādētājs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Papildus baterija Jā, Orģinālā ražotāja.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Baterijas mūža ilgums (CIPA standarts) vismaz 960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Svars(tikai BODY konfigurācijai), iekļaujot bateriju ne vairāk kā 730 g (1.61 lb / 25.75 oz)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Izmeri ne lielāki kā 139 x 105 x 79 mm (5.47 x 4.13 x 3.11′′)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Orientācijas sensors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Timelapse ieraksts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Atmiņas karte Jā. Vismaz 128Gb ietilpība. Lasīšanas ātrums vismaz līdz 95MB/s;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rakstīšans ātrums vismaz līdz 90MB/s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Soma Jā. Plecu soma. Ietilpība visamz divām kamerām, </w:t>
            </w: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lastRenderedPageBreak/>
              <w:t>diviem objektīviem, ladētājam,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baterijai un atmiņas kartei.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Digitālā spoguļkamera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Canon EOS 5D mark IV vai ekvivalentu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Komlektācijā Kameras Body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Body tips Mid-size SLR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Max izšķirtspēja vismaz 6720 x 4480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Bides proporcijas w:h(platums:augstums) 1:1, 4:3, 3:2, 16:9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Efektīvie pikseļi vismaz 30 megapixels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Max pikseļi 32 megapixels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Sensora izmērs Full frame (36 x 24 mm)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Sensora tips CMOS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Procesors DIGIC 6+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ISO Auto, 100-32000 (paplašinājums no 50 -102400)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Paaugstināts ISO (min) 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Paaugstināts ISO (max) 102400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White balanceiestatījumi vismaz 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Pielāgotais white balance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Attēla stabilizācijā Nē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Nesakomresētas bildes formāts RAW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Bildes ar palašinājumu JPEG kvalitāte vismaz labs, normāls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24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Auto fokuss Contrast Detect (sensor), Phase Detect, Multi-area, Center,</w:t>
            </w: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br/>
              <w:t>Selective single-point, Tracking, Single, Continuous, Touch, Face Detection, Live ViewAuto fokuss Contrast Detect (sensor), Phase Detect, Multi-area, Center,</w:t>
            </w: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br/>
              <w:t>Selective single-point, Tracking, Single, Continuous, Touch, Face Detection, Live View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Manuālais fokuss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Fokusa punktu skaits Vismaz 61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Objektīva stiprinājums Canon EF vai ekvivalents, kas saderīgs ar Canon objektīviem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Fokusa garuma reizinātājs vismaz 1×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Manipuliējams LCD displejs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Ekrāna izmērs vismaz 3.2 collas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Ekrāna punktu skaits vismaz 1,620,000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Skārienjūtīgs ekrāns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Ekrāna tips TFT LCD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Tiešskats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Skatu meklētājā tips Optical (pentaprism)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Skatu meklētāja pārklājums 100%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Skatu meklētāja palielinājums vismaz 0.71×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Minimālais shutter ātrums ne vairāk kā 30 sec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Maksimālais shutter ātrums vismaz 1/8000 sec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Aperture prioritāte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Shutter prioritāte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Manuālais ekspozīcijas režīms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Tēmas/ainas režīms Nē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Iebūvēts zibspuldze Nē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Ārējā zibspuldzes pieslēgšanas Jā ( "hot shoe" vai flash sync port pieslēgums)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Nepārtraukta bildēšans režīms 7.0 fps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Timers Jā (2 vai 10 sec vai manuāli iestatāms)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Metering režīmi Multi, Center-weighted, Spot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Exposure kompensācijas ±5 (pie 1/3 EV, 1/2 EV soļi)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9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Izķirtspēja vismaz 4096 x 2160 (29.97p, 24p, 23.98p), 1920 x 1080 (59.94p, 29.97p, 24p, 23.98p), 1280 x720 (119.9p)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Formārts MPEG-4, Motion JPEG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Videogrāfija protokols 8.8MP iespējams paņemt no 4K video; visi ALL-I vai IPB codecs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Mikrofons Mono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Skaļruņi Mono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Datu glabāšanas tipi CompactFlash + SD/SDHC/SDXC card (UHS-I enabled)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USB pieslēgvieta USB 3.0 (5 GBit/sec)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HDMI pieslēgvieta Jā (mini-HDMI)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Mikrofona pieslēgvieta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Austiņu pieslēgvieta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Bezvada pieslēgums Iebūvēts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Bezvada pieslēguma protokls 802.11/b/g/n + NFC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Attālinātā kontrole Jā (ar vadu, bez vada vai caur viedtālruni)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Videi nekaitīgs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Baterijas apraksts LP-E6N lithium-ion baterija &amp; lādētājs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Papildus baterija Jā, Orģinālā ražotāja.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Baterijas mūža ilgums (CIPA standarts) vismaz 900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Svars(tikai BODY konfigurācijai), iekļaujot bateriju ne vairāk kā 890 g (1.96 lb / 31.39 oz)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Izmeri ne lielāki kā 151 x 116 x 76 mm (5.94 x 4.57 x 2.99′′)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Orientācijas sensors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GPS Iebūvēts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Atmiņas karte Jā. Compact flash tips. Vismaz 256Gb ietilpība. 1066x Ātruma reitings.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Lasīšanas ātrums vismaz līdz 160MB/s; rakstīšans ātrums vismaz līdz 155MB/s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9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Soma Jā. Plecu soma. Ietilpība visamz divām kamerām, diviem objektīviem, ladētājam,  baterijai un atmiņas kartei.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Foto objektīvs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Canon EF 28mm f/1.8 USM vai ekvivalentu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Lēcas tips Prime lens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Max formāta izmērs 35mm FF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Fokusa garums 28 mm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Bildes stabilizācija Nē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Lēcas stiprinājusm Canon EF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Maximālais atvērums ne vairāk kā F1.8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Minimālais atvērums ne vairāk kā F22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Atvēruma gredzens Nē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Diafragmas lāpstiņu skaits ne mazāk kā 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Optiskie Elementi ne mazāk kā 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Optiskās Grupas ne mazāk kā 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Minimālais fokuss 0.25 m (9.84′′)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Maksimālais palielinājums 0.18×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Auto fokuss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Motora tips Ultrasonic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Pilna laika manuālais režīms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Fokusa metode Aizmugrējā(Rear)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Distances skala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DoF skala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Svars 310 g (0.68 lb)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Diametrs 74 mm (2.9′′)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Garums 56 mm (2.19′′)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Izgatavošanas materiāls Plastic barrel, metal mount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Sealing Nē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Krāsa Melns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Filter thread 58 mm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Hood product code EW-63II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Tripod collar Nē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Papildus aksesuāri Hard Case LHP-C10 Soft Case ES-C9 / LP814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Bezvadu mikrafons video kamerai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Sennheiser AVX- ME2 Lavalier Digital Wireless Microphone Set vai ekvivalentu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Audio ieeja: 3,5 mm mini jack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Audio izeja: XLR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Audio izejas līmenis: -30 dBu - 0 dBu 4 soļos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Baterija: Li-Ion 3,7 V DC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Dinamiskā amplitūda: vismaz 120 dB(A)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Signāla pāraides frekvenču diapazons(atkarīgs no Valsts): 1880 - 1930 MHz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Skaņas frekvences: 20 Hz - 20000 Hz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Modulācija: GFSK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Darba temperatūra: -10 °C - + 55°C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Darbības ilgums: vismaz 4h (Uztvērējs), tipiski 15 h (Raidītājs ar LiIon energy pack)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RF izeja jauda: adaptīvi līdz 250mW (pīķi) (atkarīgs no pāraides frekveņču diapazona)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Sampling rates: 24 bit / 48 kHz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Signal-to-noise ratio: &gt; 90 dB(A)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THD, total harmonic distortion: typ. 0.1 %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Svars: Uztverējs: ne vairāk kā 87 g (ieskaitot energy pack)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Atbildes laiks: ne vairāk kā 19 ms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Stabilizācijas statīvs videokamerai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DJI Ronin-MX 3-axis vai ekvivalentu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Izmērs: ne lielāks kā 560mm x 370mm x 440mm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Svars bez aprīkojuma ne lielāks kā 2.77 kg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Pilnais svars ar aprīkojumu: 4.5 kg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Darba strāva: ne vairāk Static current: 300 mA (@16 V)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Dynamic current: 600 mA (@16 V)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Locked motor current: Max 10 A (@16 V)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GSU spriegums: ne vairāk kā Intelligent Battery: 423496-1580 mAh-14.4 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Sprieguma pieslēguma vietas: vismaz 12V Regulated P-Tap x 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USB 500 mW x 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DJI Lightbridge x 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Leņķveida vibrācijas diapazons: ne vairāk kā ±0.02°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Maksimālais rotācijas ātrums: vismaz Pan axis: 200°/s; Tilt axis: 100°/s ; Roll axis: 30°/s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Mehāniskais diapazons: vismaz Pan axis control: 360° continuous rotation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Tilt axis control: +270° to -150°Roll axis control: ± 110°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Rotācijas diapazons: vismaz Pan axis control: 360° continuous rotation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Tilt axis control: +45° to -135°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Roll axis control: ± 25°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Savienojumi: vismaz 2.4 GHz Remote Controller; Bluetooth 4.0; USB 2.0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Operētājsistēmu atbalsts: Windows XP vai jaunāks; Mac OS X 10.9 vai jaunāks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Mobilo operētājsistēmu atbalsts: IOS 7.1 vai jaunāks; Android 4.3 vai jaunāks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Virziena mikrofons video kamerai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Rode Video mic pro vai ekvivalentu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Tips: Broadcast recording quality condenser microphone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Darba frekvences diapazons: vismaz 40 līdz 20 000 Hz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Polar Pattern: Supercardioid/lobar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Izejas pretestība: ne vairāk kā 200 omi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Jūtīgums: -32.0dB re 1 Volt/Pascal (20.00mV @ 94 dB SPL) +/- 2 dB @ 1kHz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Maksimālais SPL: 134dBSPL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Signāla trokšņu līmenis: ne vairāk kā 80 dB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Dinamiskais diapazons: 120 dB (as per IEC 651)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Paštroksnis:  14dBA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Foto studija gaisma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gab.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JinBei MSN 600 ttl studio flash vai ekvivalentu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Jauda: ne vairāk 600W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Jaudas izmaiņas: no 1.0 līdz 0.9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Atjaunošanās laiks: 0.05-0.8 sekundes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HSS/TTL: 1/8000 sekundes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Zibšņa ilgums: Nor: 1/2200s-1/8000s / freeze: 1/2200s-1/19000s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Krāsas temperatūra: 5500K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Statiskā Lampa: LED 20W proporcionāla/neatkarīga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Saderība ar trigeriem: Jinbei TR-611 Multifuncional HSS Trigger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CH/GR Trigger metode: CH:00-15 /GR:A/B/C/D/E/F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USB firmware atjaunināšana: Jā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Svars: ne vairāk kā 2.9 kg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Darba spriegums: AC90-220V 50/60 HZ 10A fuse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Izmērs: 365mm x 136mm x 200mm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lv-LV" w:eastAsia="lv-LV"/>
              </w:rPr>
            </w:pP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Karšu lasītājs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1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Karšu lasītājs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 xml:space="preserve"> vismaz         2 gadi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Pieslēgums: vismaz USB 3.0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6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Atmiņas karšu atbalsts: Compact flash, SD Card/SDHC Memory Card/SDXC Memory Card,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xD,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9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Memory Stick (TM)/Memory Stick Duo (TM)/Memory Stick Pro (TM)/Memory Stick Pro Duo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  <w:tr w:rsidR="002718BC" w:rsidRPr="00836934" w:rsidTr="009F3DC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(TM)/MultiMediaCard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BC" w:rsidRPr="00836934" w:rsidRDefault="002718BC" w:rsidP="009F3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</w:pPr>
            <w:r w:rsidRPr="0083693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lv-LV" w:eastAsia="lv-LV"/>
              </w:rPr>
              <w:t> </w:t>
            </w:r>
          </w:p>
        </w:tc>
      </w:tr>
    </w:tbl>
    <w:p w:rsidR="002718BC" w:rsidRDefault="002718BC" w:rsidP="002718BC">
      <w:pPr>
        <w:pStyle w:val="BodyA"/>
        <w:widowControl w:val="0"/>
        <w:suppressAutoHyphens/>
        <w:spacing w:after="0" w:line="240" w:lineRule="auto"/>
        <w:ind w:left="216" w:hanging="216"/>
        <w:rPr>
          <w:rFonts w:ascii="Times New Roman" w:eastAsia="Times New Roman" w:hAnsi="Times New Roman" w:cs="Times New Roman"/>
          <w:lang w:val="fr-FR"/>
        </w:rPr>
      </w:pPr>
    </w:p>
    <w:p w:rsidR="002718BC" w:rsidRDefault="002718BC" w:rsidP="002718BC">
      <w:pPr>
        <w:pStyle w:val="BodyA"/>
        <w:widowControl w:val="0"/>
        <w:suppressAutoHyphens/>
        <w:spacing w:after="0" w:line="240" w:lineRule="auto"/>
        <w:ind w:left="108" w:hanging="108"/>
        <w:rPr>
          <w:rFonts w:ascii="Times New Roman" w:eastAsia="Times New Roman" w:hAnsi="Times New Roman" w:cs="Times New Roman"/>
          <w:lang w:val="fr-FR"/>
        </w:rPr>
      </w:pPr>
    </w:p>
    <w:p w:rsidR="002718BC" w:rsidRDefault="002718BC" w:rsidP="002718BC">
      <w:pPr>
        <w:pStyle w:val="BodyA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:rsidR="002718BC" w:rsidRDefault="002718BC" w:rsidP="002718BC">
      <w:pPr>
        <w:pStyle w:val="BodyA"/>
        <w:suppressAutoHyphens/>
        <w:jc w:val="both"/>
        <w:rPr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BodyA"/>
        <w:suppressAutoHyphens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 xml:space="preserve">2018. </w:t>
      </w:r>
      <w:proofErr w:type="spellStart"/>
      <w:r>
        <w:rPr>
          <w:rStyle w:val="None"/>
          <w:rFonts w:ascii="Times New Roman" w:hAnsi="Times New Roman"/>
          <w:lang w:val="en-US"/>
        </w:rPr>
        <w:t>gada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__</w:t>
      </w:r>
      <w:proofErr w:type="gramStart"/>
      <w:r>
        <w:rPr>
          <w:rStyle w:val="None"/>
          <w:rFonts w:ascii="Times New Roman" w:hAnsi="Times New Roman"/>
          <w:lang w:val="en-US"/>
        </w:rPr>
        <w:t>_._</w:t>
      </w:r>
      <w:proofErr w:type="gramEnd"/>
      <w:r>
        <w:rPr>
          <w:rStyle w:val="None"/>
          <w:rFonts w:ascii="Times New Roman" w:hAnsi="Times New Roman"/>
          <w:lang w:val="en-US"/>
        </w:rPr>
        <w:t>_____________</w:t>
      </w:r>
    </w:p>
    <w:tbl>
      <w:tblPr>
        <w:tblW w:w="77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70"/>
        <w:gridCol w:w="241"/>
        <w:gridCol w:w="1812"/>
        <w:gridCol w:w="240"/>
        <w:gridCol w:w="2537"/>
      </w:tblGrid>
      <w:tr w:rsidR="002718BC" w:rsidTr="009F3DCD">
        <w:trPr>
          <w:trHeight w:val="310"/>
        </w:trPr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</w:tr>
      <w:tr w:rsidR="002718BC" w:rsidTr="009F3DCD">
        <w:trPr>
          <w:trHeight w:val="320"/>
        </w:trPr>
        <w:tc>
          <w:tcPr>
            <w:tcW w:w="2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amats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paraksts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paraksta atš</w:t>
            </w:r>
            <w:r>
              <w:rPr>
                <w:rStyle w:val="None"/>
                <w:rFonts w:ascii="Times New Roman" w:hAnsi="Times New Roman"/>
                <w:lang w:val="sv-SE"/>
              </w:rPr>
              <w:t>ifr</w:t>
            </w:r>
            <w:r>
              <w:rPr>
                <w:rStyle w:val="None"/>
                <w:rFonts w:ascii="Times New Roman" w:hAnsi="Times New Roman"/>
              </w:rPr>
              <w:t>ējums</w:t>
            </w:r>
          </w:p>
        </w:tc>
      </w:tr>
    </w:tbl>
    <w:p w:rsidR="002718BC" w:rsidRDefault="002718BC" w:rsidP="002718BC">
      <w:pPr>
        <w:pStyle w:val="BodyA"/>
        <w:widowControl w:val="0"/>
        <w:suppressAutoHyphens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BodyA"/>
        <w:widowControl w:val="0"/>
        <w:suppressAutoHyphens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BodyA"/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BodyA"/>
        <w:suppressAutoHyphens/>
      </w:pPr>
      <w:r>
        <w:rPr>
          <w:rStyle w:val="None"/>
          <w:rFonts w:ascii="Times New Roman" w:hAnsi="Times New Roman"/>
          <w:i/>
          <w:iCs/>
        </w:rPr>
        <w:t>Piedāvā</w:t>
      </w:r>
      <w:proofErr w:type="spellStart"/>
      <w:r>
        <w:rPr>
          <w:rStyle w:val="None"/>
          <w:rFonts w:ascii="Times New Roman" w:hAnsi="Times New Roman"/>
          <w:i/>
          <w:iCs/>
          <w:lang w:val="en-US"/>
        </w:rPr>
        <w:t>jums</w:t>
      </w:r>
      <w:proofErr w:type="spellEnd"/>
      <w:r>
        <w:rPr>
          <w:rStyle w:val="None"/>
          <w:rFonts w:ascii="Times New Roman" w:hAnsi="Times New Roman"/>
          <w:i/>
          <w:iCs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lang w:val="en-US"/>
        </w:rPr>
        <w:t>ir</w:t>
      </w:r>
      <w:proofErr w:type="spellEnd"/>
      <w:r>
        <w:rPr>
          <w:rStyle w:val="None"/>
          <w:rFonts w:ascii="Times New Roman" w:hAnsi="Times New Roman"/>
          <w:i/>
          <w:iCs/>
          <w:lang w:val="en-US"/>
        </w:rPr>
        <w:t xml:space="preserve"> j</w:t>
      </w:r>
      <w:r>
        <w:rPr>
          <w:rStyle w:val="None"/>
          <w:rFonts w:ascii="Times New Roman" w:hAnsi="Times New Roman"/>
          <w:i/>
          <w:iCs/>
        </w:rPr>
        <w:t>āparaksta Pretendenta vadītā</w:t>
      </w:r>
      <w:r>
        <w:rPr>
          <w:rStyle w:val="None"/>
          <w:rFonts w:ascii="Times New Roman" w:hAnsi="Times New Roman"/>
          <w:i/>
          <w:iCs/>
          <w:lang w:val="pt-PT"/>
        </w:rPr>
        <w:t>jam vai vi</w:t>
      </w:r>
      <w:r>
        <w:rPr>
          <w:rStyle w:val="None"/>
          <w:rFonts w:ascii="Times New Roman" w:hAnsi="Times New Roman"/>
          <w:i/>
          <w:iCs/>
        </w:rPr>
        <w:t xml:space="preserve">ņa pilnvarotai personai, ja piedāvājumu paraksta pilnvarotā </w:t>
      </w:r>
      <w:r>
        <w:rPr>
          <w:rStyle w:val="None"/>
          <w:rFonts w:ascii="Times New Roman" w:hAnsi="Times New Roman"/>
          <w:i/>
          <w:iCs/>
          <w:lang w:val="es-ES_tradnl"/>
        </w:rPr>
        <w:t xml:space="preserve">persona, </w:t>
      </w:r>
      <w:proofErr w:type="spellStart"/>
      <w:r>
        <w:rPr>
          <w:rStyle w:val="None"/>
          <w:rFonts w:ascii="Times New Roman" w:hAnsi="Times New Roman"/>
          <w:i/>
          <w:iCs/>
          <w:lang w:val="es-ES_tradnl"/>
        </w:rPr>
        <w:t>oblig</w:t>
      </w:r>
      <w:proofErr w:type="spellEnd"/>
      <w:r>
        <w:rPr>
          <w:rStyle w:val="None"/>
          <w:rFonts w:ascii="Times New Roman" w:hAnsi="Times New Roman"/>
          <w:i/>
          <w:iCs/>
        </w:rPr>
        <w:t>āti jā</w:t>
      </w:r>
      <w:r>
        <w:rPr>
          <w:rStyle w:val="None"/>
          <w:rFonts w:ascii="Times New Roman" w:hAnsi="Times New Roman"/>
          <w:i/>
          <w:iCs/>
          <w:lang w:val="it-IT"/>
        </w:rPr>
        <w:t>pievieno pilnvara.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718BC" w:rsidRDefault="002718BC" w:rsidP="002718BC">
      <w:pPr>
        <w:pStyle w:val="ListParagraph"/>
        <w:shd w:val="clear" w:color="auto" w:fill="FFFFFF"/>
        <w:suppressAutoHyphens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lastRenderedPageBreak/>
        <w:t>3.pielikums</w:t>
      </w:r>
    </w:p>
    <w:p w:rsidR="002718BC" w:rsidRDefault="002718BC" w:rsidP="002718BC">
      <w:pPr>
        <w:pStyle w:val="BodyA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18BC" w:rsidRDefault="002718BC" w:rsidP="002718BC">
      <w:pPr>
        <w:pStyle w:val="BodyA"/>
        <w:shd w:val="clear" w:color="auto" w:fill="FFFFFF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FINANŠU PIEDĀVĀ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JUMA VEIDNE </w:t>
      </w:r>
    </w:p>
    <w:p w:rsidR="002718BC" w:rsidRDefault="002718BC" w:rsidP="002718BC">
      <w:pPr>
        <w:pStyle w:val="BodyA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8BC" w:rsidRDefault="002718BC" w:rsidP="002718BC">
      <w:pPr>
        <w:pStyle w:val="ListParagraph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„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 xml:space="preserve">Foto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tehnikas iegā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de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KA Latvijas Kultūras koledžas vajadzībām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”</w:t>
      </w:r>
    </w:p>
    <w:p w:rsidR="002718BC" w:rsidRDefault="002718BC" w:rsidP="002718BC">
      <w:pPr>
        <w:pStyle w:val="BodyA"/>
        <w:shd w:val="clear" w:color="auto" w:fill="FFFFFF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Style w:val="None"/>
          <w:rFonts w:ascii="Times New Roman" w:hAnsi="Times New Roman"/>
          <w:i/>
          <w:iCs/>
          <w:lang w:val="de-DE"/>
        </w:rPr>
        <w:t>Finan</w:t>
      </w:r>
      <w:r>
        <w:rPr>
          <w:rStyle w:val="None"/>
          <w:rFonts w:ascii="Times New Roman" w:hAnsi="Times New Roman"/>
          <w:i/>
          <w:iCs/>
        </w:rPr>
        <w:t>š</w:t>
      </w:r>
      <w:r>
        <w:rPr>
          <w:rStyle w:val="None"/>
          <w:rFonts w:ascii="Times New Roman" w:hAnsi="Times New Roman"/>
          <w:i/>
          <w:iCs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i/>
          <w:iCs/>
          <w:lang w:val="es-ES_tradnl"/>
        </w:rPr>
        <w:t>pied</w:t>
      </w:r>
      <w:proofErr w:type="spellEnd"/>
      <w:r>
        <w:rPr>
          <w:rStyle w:val="None"/>
          <w:rFonts w:ascii="Times New Roman" w:hAnsi="Times New Roman"/>
          <w:i/>
          <w:iCs/>
        </w:rPr>
        <w:t>āvājumu sagatavo, izcenojot iekā</w:t>
      </w:r>
      <w:r>
        <w:rPr>
          <w:rStyle w:val="None"/>
          <w:rFonts w:ascii="Times New Roman" w:hAnsi="Times New Roman"/>
          <w:i/>
          <w:iCs/>
          <w:lang w:val="sv-SE"/>
        </w:rPr>
        <w:t>rtas atbilsto</w:t>
      </w:r>
      <w:r>
        <w:rPr>
          <w:rStyle w:val="None"/>
          <w:rFonts w:ascii="Times New Roman" w:hAnsi="Times New Roman"/>
          <w:i/>
          <w:iCs/>
        </w:rPr>
        <w:t xml:space="preserve">ši tehniskajā </w:t>
      </w:r>
      <w:r>
        <w:rPr>
          <w:rStyle w:val="None"/>
          <w:rFonts w:ascii="Times New Roman" w:hAnsi="Times New Roman"/>
          <w:i/>
          <w:iCs/>
          <w:lang w:val="da-DK"/>
        </w:rPr>
        <w:t>specifik</w:t>
      </w:r>
      <w:r>
        <w:rPr>
          <w:rStyle w:val="None"/>
          <w:rFonts w:ascii="Times New Roman" w:hAnsi="Times New Roman"/>
          <w:i/>
          <w:iCs/>
        </w:rPr>
        <w:t>ācijā norādītajai iekārtu komplektācijai un rādītājiem, kā arī ņ</w:t>
      </w:r>
      <w:r>
        <w:rPr>
          <w:rStyle w:val="None"/>
          <w:rFonts w:ascii="Times New Roman" w:hAnsi="Times New Roman"/>
          <w:i/>
          <w:iCs/>
          <w:lang w:val="sv-SE"/>
        </w:rPr>
        <w:t>emot v</w:t>
      </w:r>
      <w:r>
        <w:rPr>
          <w:rStyle w:val="None"/>
          <w:rFonts w:ascii="Times New Roman" w:hAnsi="Times New Roman"/>
          <w:i/>
          <w:iCs/>
        </w:rPr>
        <w:t>ērā garantijas saistības</w:t>
      </w:r>
    </w:p>
    <w:p w:rsidR="002718BC" w:rsidRDefault="002718BC" w:rsidP="002718BC">
      <w:pPr>
        <w:pStyle w:val="BodyA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1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275"/>
        <w:gridCol w:w="993"/>
        <w:gridCol w:w="1416"/>
      </w:tblGrid>
      <w:tr w:rsidR="002718BC" w:rsidTr="009F3DCD">
        <w:trPr>
          <w:trHeight w:val="902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Izmaksu pozīcija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Vien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ī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bas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cena EUR</w:t>
            </w:r>
          </w:p>
          <w:p w:rsidR="002718BC" w:rsidRDefault="002718BC" w:rsidP="009F3DCD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(bez PVN)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Vien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ību skaits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Izmaksu pozīcijas cena EUR</w:t>
            </w:r>
          </w:p>
          <w:p w:rsidR="002718BC" w:rsidRDefault="002718BC" w:rsidP="009F3DCD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(bez PVN)</w:t>
            </w:r>
          </w:p>
        </w:tc>
      </w:tr>
      <w:tr w:rsidR="002718BC" w:rsidTr="009F3DCD">
        <w:tblPrEx>
          <w:shd w:val="clear" w:color="auto" w:fill="CED7E7"/>
        </w:tblPrEx>
        <w:trPr>
          <w:trHeight w:val="5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</w:tr>
      <w:tr w:rsidR="002718BC" w:rsidTr="009F3DCD">
        <w:tblPrEx>
          <w:shd w:val="clear" w:color="auto" w:fill="CED7E7"/>
        </w:tblPrEx>
        <w:trPr>
          <w:trHeight w:val="5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</w:tr>
      <w:tr w:rsidR="002718BC" w:rsidTr="009F3DCD">
        <w:tblPrEx>
          <w:shd w:val="clear" w:color="auto" w:fill="CED7E7"/>
        </w:tblPrEx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</w:tr>
      <w:tr w:rsidR="002718BC" w:rsidTr="009F3DCD">
        <w:tblPrEx>
          <w:shd w:val="clear" w:color="auto" w:fill="CED7E7"/>
        </w:tblPrEx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</w:tr>
      <w:tr w:rsidR="002718BC" w:rsidTr="009F3DCD">
        <w:tblPrEx>
          <w:shd w:val="clear" w:color="auto" w:fill="CED7E7"/>
        </w:tblPrEx>
        <w:trPr>
          <w:trHeight w:val="49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</w:tr>
      <w:tr w:rsidR="002718BC" w:rsidTr="009F3DCD">
        <w:tblPrEx>
          <w:shd w:val="clear" w:color="auto" w:fill="CED7E7"/>
        </w:tblPrEx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</w:tr>
      <w:tr w:rsidR="002718BC" w:rsidTr="009F3DCD">
        <w:tblPrEx>
          <w:shd w:val="clear" w:color="auto" w:fill="CED7E7"/>
        </w:tblPrEx>
        <w:trPr>
          <w:trHeight w:val="31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>
            <w:pPr>
              <w:pStyle w:val="BodyA"/>
              <w:shd w:val="clear" w:color="auto" w:fill="FFFFFF"/>
              <w:tabs>
                <w:tab w:val="left" w:pos="319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Kop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ējā cena EUR (bez PVN)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</w:tr>
      <w:tr w:rsidR="002718BC" w:rsidTr="009F3DCD">
        <w:tblPrEx>
          <w:shd w:val="clear" w:color="auto" w:fill="CED7E7"/>
        </w:tblPrEx>
        <w:trPr>
          <w:trHeight w:val="31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>
            <w:pPr>
              <w:pStyle w:val="BodyA"/>
              <w:shd w:val="clear" w:color="auto" w:fill="FFFFFF"/>
              <w:tabs>
                <w:tab w:val="left" w:pos="319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21%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PVN summa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</w:tr>
      <w:tr w:rsidR="002718BC" w:rsidTr="009F3DCD">
        <w:tblPrEx>
          <w:shd w:val="clear" w:color="auto" w:fill="CED7E7"/>
        </w:tblPrEx>
        <w:trPr>
          <w:trHeight w:val="31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>
            <w:pPr>
              <w:pStyle w:val="BodyA"/>
              <w:shd w:val="clear" w:color="auto" w:fill="FFFFFF"/>
              <w:tabs>
                <w:tab w:val="left" w:pos="319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Kop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ējā cena EUR (t.sk., PVN)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8BC" w:rsidRDefault="002718BC" w:rsidP="009F3DCD"/>
        </w:tc>
      </w:tr>
    </w:tbl>
    <w:p w:rsidR="002718BC" w:rsidRDefault="002718BC" w:rsidP="002718BC">
      <w:pPr>
        <w:pStyle w:val="BodyA"/>
        <w:widowControl w:val="0"/>
        <w:shd w:val="clear" w:color="auto" w:fill="FFFFFF"/>
        <w:suppressAutoHyphens/>
        <w:spacing w:after="0"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18BC" w:rsidRDefault="002718BC" w:rsidP="002718BC">
      <w:pPr>
        <w:pStyle w:val="BodyA"/>
        <w:widowControl w:val="0"/>
        <w:shd w:val="clear" w:color="auto" w:fill="FFFFFF"/>
        <w:suppressAutoHyphens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18BC" w:rsidRDefault="002718BC" w:rsidP="002718BC">
      <w:pPr>
        <w:pStyle w:val="BodyA"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18BC" w:rsidRDefault="002718BC" w:rsidP="002718BC">
      <w:pPr>
        <w:pStyle w:val="BodyA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18BC" w:rsidRDefault="002718BC" w:rsidP="002718BC">
      <w:pPr>
        <w:pStyle w:val="BodyA"/>
        <w:shd w:val="clear" w:color="auto" w:fill="FFFFFF"/>
        <w:tabs>
          <w:tab w:val="left" w:pos="3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18BC" w:rsidRDefault="002718BC" w:rsidP="002718BC">
      <w:pPr>
        <w:pStyle w:val="BodyA"/>
        <w:suppressAutoHyphens/>
        <w:rPr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BodyA"/>
        <w:suppressAutoHyphens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 xml:space="preserve">2018. </w:t>
      </w:r>
      <w:proofErr w:type="spellStart"/>
      <w:r>
        <w:rPr>
          <w:rStyle w:val="None"/>
          <w:rFonts w:ascii="Times New Roman" w:hAnsi="Times New Roman"/>
          <w:lang w:val="en-US"/>
        </w:rPr>
        <w:t>gada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__</w:t>
      </w:r>
      <w:proofErr w:type="gramStart"/>
      <w:r>
        <w:rPr>
          <w:rStyle w:val="None"/>
          <w:rFonts w:ascii="Times New Roman" w:hAnsi="Times New Roman"/>
          <w:lang w:val="en-US"/>
        </w:rPr>
        <w:t>_._</w:t>
      </w:r>
      <w:proofErr w:type="gramEnd"/>
      <w:r>
        <w:rPr>
          <w:rStyle w:val="None"/>
          <w:rFonts w:ascii="Times New Roman" w:hAnsi="Times New Roman"/>
          <w:lang w:val="en-US"/>
        </w:rPr>
        <w:t>_______________</w:t>
      </w:r>
    </w:p>
    <w:tbl>
      <w:tblPr>
        <w:tblW w:w="90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9"/>
        <w:gridCol w:w="282"/>
        <w:gridCol w:w="2127"/>
        <w:gridCol w:w="283"/>
        <w:gridCol w:w="2978"/>
      </w:tblGrid>
      <w:tr w:rsidR="002718BC" w:rsidTr="009F3DCD">
        <w:trPr>
          <w:trHeight w:val="310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18BC" w:rsidRDefault="002718BC" w:rsidP="009F3DCD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18BC" w:rsidRDefault="002718BC" w:rsidP="009F3DCD"/>
        </w:tc>
      </w:tr>
      <w:tr w:rsidR="002718BC" w:rsidTr="009F3DCD">
        <w:trPr>
          <w:trHeight w:val="407"/>
        </w:trPr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amats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/>
        </w:tc>
        <w:tc>
          <w:tcPr>
            <w:tcW w:w="2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8BC" w:rsidRDefault="002718BC" w:rsidP="009F3DCD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paraksta atš</w:t>
            </w:r>
            <w:r>
              <w:rPr>
                <w:rStyle w:val="None"/>
                <w:rFonts w:ascii="Times New Roman" w:hAnsi="Times New Roman"/>
                <w:lang w:val="sv-SE"/>
              </w:rPr>
              <w:t>ifr</w:t>
            </w:r>
            <w:r>
              <w:rPr>
                <w:rStyle w:val="None"/>
                <w:rFonts w:ascii="Times New Roman" w:hAnsi="Times New Roman"/>
              </w:rPr>
              <w:t>ējums</w:t>
            </w:r>
          </w:p>
        </w:tc>
      </w:tr>
    </w:tbl>
    <w:p w:rsidR="002718BC" w:rsidRDefault="002718BC" w:rsidP="002718BC">
      <w:pPr>
        <w:pStyle w:val="BodyA"/>
        <w:widowControl w:val="0"/>
        <w:suppressAutoHyphens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BodyA"/>
        <w:widowControl w:val="0"/>
        <w:suppressAutoHyphens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BodyA"/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718BC" w:rsidRDefault="002718BC" w:rsidP="002718BC">
      <w:pPr>
        <w:pStyle w:val="BodyA"/>
        <w:suppressAutoHyphens/>
        <w:rPr>
          <w:rFonts w:ascii="Times New Roman" w:eastAsia="Times New Roman" w:hAnsi="Times New Roman" w:cs="Times New Roman"/>
          <w:i/>
          <w:iCs/>
        </w:rPr>
      </w:pPr>
    </w:p>
    <w:p w:rsidR="002718BC" w:rsidRDefault="002718BC" w:rsidP="002718BC">
      <w:pPr>
        <w:pStyle w:val="BodyA"/>
        <w:suppressAutoHyphens/>
      </w:pPr>
      <w:r>
        <w:rPr>
          <w:rStyle w:val="None"/>
          <w:rFonts w:ascii="Times New Roman" w:hAnsi="Times New Roman"/>
          <w:i/>
          <w:iCs/>
        </w:rPr>
        <w:t>Piedāvā</w:t>
      </w:r>
      <w:proofErr w:type="spellStart"/>
      <w:r>
        <w:rPr>
          <w:rStyle w:val="None"/>
          <w:rFonts w:ascii="Times New Roman" w:hAnsi="Times New Roman"/>
          <w:i/>
          <w:iCs/>
          <w:lang w:val="en-US"/>
        </w:rPr>
        <w:t>jums</w:t>
      </w:r>
      <w:proofErr w:type="spellEnd"/>
      <w:r>
        <w:rPr>
          <w:rStyle w:val="None"/>
          <w:rFonts w:ascii="Times New Roman" w:hAnsi="Times New Roman"/>
          <w:i/>
          <w:iCs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lang w:val="en-US"/>
        </w:rPr>
        <w:t>ir</w:t>
      </w:r>
      <w:proofErr w:type="spellEnd"/>
      <w:r>
        <w:rPr>
          <w:rStyle w:val="None"/>
          <w:rFonts w:ascii="Times New Roman" w:hAnsi="Times New Roman"/>
          <w:i/>
          <w:iCs/>
          <w:lang w:val="en-US"/>
        </w:rPr>
        <w:t xml:space="preserve"> j</w:t>
      </w:r>
      <w:r>
        <w:rPr>
          <w:rStyle w:val="None"/>
          <w:rFonts w:ascii="Times New Roman" w:hAnsi="Times New Roman"/>
          <w:i/>
          <w:iCs/>
        </w:rPr>
        <w:t>āparaksta Pretendenta vadītā</w:t>
      </w:r>
      <w:r>
        <w:rPr>
          <w:rStyle w:val="None"/>
          <w:rFonts w:ascii="Times New Roman" w:hAnsi="Times New Roman"/>
          <w:i/>
          <w:iCs/>
          <w:lang w:val="pt-PT"/>
        </w:rPr>
        <w:t>jam vai vi</w:t>
      </w:r>
      <w:r>
        <w:rPr>
          <w:rStyle w:val="None"/>
          <w:rFonts w:ascii="Times New Roman" w:hAnsi="Times New Roman"/>
          <w:i/>
          <w:iCs/>
        </w:rPr>
        <w:t xml:space="preserve">ņa pilnvarotai personai, ja piedāvājumu paraksta pilnvarotā </w:t>
      </w:r>
      <w:r>
        <w:rPr>
          <w:rStyle w:val="None"/>
          <w:rFonts w:ascii="Times New Roman" w:hAnsi="Times New Roman"/>
          <w:i/>
          <w:iCs/>
          <w:lang w:val="es-ES_tradnl"/>
        </w:rPr>
        <w:t xml:space="preserve">persona, </w:t>
      </w:r>
      <w:proofErr w:type="spellStart"/>
      <w:r>
        <w:rPr>
          <w:rStyle w:val="None"/>
          <w:rFonts w:ascii="Times New Roman" w:hAnsi="Times New Roman"/>
          <w:i/>
          <w:iCs/>
          <w:lang w:val="es-ES_tradnl"/>
        </w:rPr>
        <w:t>oblig</w:t>
      </w:r>
      <w:proofErr w:type="spellEnd"/>
      <w:r>
        <w:rPr>
          <w:rStyle w:val="None"/>
          <w:rFonts w:ascii="Times New Roman" w:hAnsi="Times New Roman"/>
          <w:i/>
          <w:iCs/>
        </w:rPr>
        <w:t>āti jā</w:t>
      </w:r>
      <w:r>
        <w:rPr>
          <w:rStyle w:val="None"/>
          <w:rFonts w:ascii="Times New Roman" w:hAnsi="Times New Roman"/>
          <w:i/>
          <w:iCs/>
          <w:lang w:val="it-IT"/>
        </w:rPr>
        <w:t>pievieno pilnvara.</w:t>
      </w:r>
    </w:p>
    <w:p w:rsidR="00CF5A07" w:rsidRDefault="00CF5A07">
      <w:bookmarkStart w:id="0" w:name="_GoBack"/>
      <w:bookmarkEnd w:id="0"/>
    </w:p>
    <w:sectPr w:rsidR="00CF5A07">
      <w:headerReference w:type="default" r:id="rId9"/>
      <w:type w:val="oddPage"/>
      <w:pgSz w:w="11900" w:h="16840"/>
      <w:pgMar w:top="1418" w:right="851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1" w:rsidRDefault="002718B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1" w:rsidRDefault="002718BC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1" w:rsidRDefault="002718B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1" w:rsidRDefault="002718B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1" w:rsidRDefault="002718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A0"/>
    <w:multiLevelType w:val="hybridMultilevel"/>
    <w:tmpl w:val="EC88B50C"/>
    <w:numStyleLink w:val="ImportedStyle4"/>
  </w:abstractNum>
  <w:abstractNum w:abstractNumId="1" w15:restartNumberingAfterBreak="0">
    <w:nsid w:val="2443469F"/>
    <w:multiLevelType w:val="hybridMultilevel"/>
    <w:tmpl w:val="EC88B50C"/>
    <w:styleLink w:val="ImportedStyle4"/>
    <w:lvl w:ilvl="0" w:tplc="2024861A">
      <w:start w:val="1"/>
      <w:numFmt w:val="decimal"/>
      <w:suff w:val="nothing"/>
      <w:lvlText w:val="%1."/>
      <w:lvlJc w:val="left"/>
      <w:pPr>
        <w:tabs>
          <w:tab w:val="left" w:pos="720"/>
        </w:tabs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6F99A">
      <w:start w:val="1"/>
      <w:numFmt w:val="lowerLetter"/>
      <w:suff w:val="nothing"/>
      <w:lvlText w:val="%2."/>
      <w:lvlJc w:val="left"/>
      <w:pPr>
        <w:tabs>
          <w:tab w:val="left" w:pos="720"/>
        </w:tabs>
        <w:ind w:left="108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8CB71E">
      <w:start w:val="1"/>
      <w:numFmt w:val="lowerRoman"/>
      <w:lvlText w:val="%3."/>
      <w:lvlJc w:val="left"/>
      <w:pPr>
        <w:tabs>
          <w:tab w:val="left" w:pos="720"/>
          <w:tab w:val="num" w:pos="1800"/>
        </w:tabs>
        <w:ind w:left="1842" w:hanging="4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C27F8">
      <w:start w:val="1"/>
      <w:numFmt w:val="decimal"/>
      <w:suff w:val="nothing"/>
      <w:lvlText w:val="%4."/>
      <w:lvlJc w:val="left"/>
      <w:pPr>
        <w:tabs>
          <w:tab w:val="left" w:pos="720"/>
        </w:tabs>
        <w:ind w:left="252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0EE30">
      <w:start w:val="1"/>
      <w:numFmt w:val="lowerLetter"/>
      <w:suff w:val="nothing"/>
      <w:lvlText w:val="%5."/>
      <w:lvlJc w:val="left"/>
      <w:pPr>
        <w:tabs>
          <w:tab w:val="left" w:pos="720"/>
        </w:tabs>
        <w:ind w:left="324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A8470">
      <w:start w:val="1"/>
      <w:numFmt w:val="lowerRoman"/>
      <w:lvlText w:val="%6."/>
      <w:lvlJc w:val="left"/>
      <w:pPr>
        <w:tabs>
          <w:tab w:val="left" w:pos="720"/>
          <w:tab w:val="num" w:pos="3960"/>
        </w:tabs>
        <w:ind w:left="4002" w:hanging="4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C7BCA">
      <w:start w:val="1"/>
      <w:numFmt w:val="decimal"/>
      <w:suff w:val="nothing"/>
      <w:lvlText w:val="%7."/>
      <w:lvlJc w:val="left"/>
      <w:pPr>
        <w:tabs>
          <w:tab w:val="left" w:pos="720"/>
        </w:tabs>
        <w:ind w:left="468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4C86E">
      <w:start w:val="1"/>
      <w:numFmt w:val="lowerLetter"/>
      <w:suff w:val="nothing"/>
      <w:lvlText w:val="%8."/>
      <w:lvlJc w:val="left"/>
      <w:pPr>
        <w:tabs>
          <w:tab w:val="left" w:pos="720"/>
        </w:tabs>
        <w:ind w:left="540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AFA0E">
      <w:start w:val="1"/>
      <w:numFmt w:val="lowerRoman"/>
      <w:lvlText w:val="%9."/>
      <w:lvlJc w:val="left"/>
      <w:pPr>
        <w:tabs>
          <w:tab w:val="left" w:pos="720"/>
          <w:tab w:val="num" w:pos="6120"/>
        </w:tabs>
        <w:ind w:left="6162" w:hanging="4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C"/>
    <w:rsid w:val="002718BC"/>
    <w:rsid w:val="00C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0AEC-4586-48C3-86D5-7F98273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1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18BC"/>
    <w:rPr>
      <w:u w:val="single"/>
    </w:rPr>
  </w:style>
  <w:style w:type="paragraph" w:customStyle="1" w:styleId="HeaderFooter">
    <w:name w:val="Header &amp; Footer"/>
    <w:rsid w:val="00271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v-LV"/>
    </w:rPr>
  </w:style>
  <w:style w:type="paragraph" w:customStyle="1" w:styleId="BodyA">
    <w:name w:val="Body A"/>
    <w:rsid w:val="002718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styleId="ListParagraph">
    <w:name w:val="List Paragraph"/>
    <w:rsid w:val="002718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character" w:customStyle="1" w:styleId="None">
    <w:name w:val="None"/>
    <w:rsid w:val="002718BC"/>
  </w:style>
  <w:style w:type="character" w:customStyle="1" w:styleId="Hyperlink0">
    <w:name w:val="Hyperlink.0"/>
    <w:basedOn w:val="None"/>
    <w:rsid w:val="002718BC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BodyText4">
    <w:name w:val="Body Text4"/>
    <w:rsid w:val="002718BC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80" w:line="394" w:lineRule="exact"/>
      <w:jc w:val="right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lv-LV"/>
    </w:rPr>
  </w:style>
  <w:style w:type="paragraph" w:styleId="Header">
    <w:name w:val="header"/>
    <w:link w:val="HeaderChar"/>
    <w:rsid w:val="002718B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character" w:customStyle="1" w:styleId="HeaderChar">
    <w:name w:val="Header Char"/>
    <w:basedOn w:val="DefaultParagraphFont"/>
    <w:link w:val="Header"/>
    <w:rsid w:val="002718BC"/>
    <w:rPr>
      <w:rFonts w:ascii="Calibri" w:eastAsia="Calibri" w:hAnsi="Calibri" w:cs="Calibri"/>
      <w:color w:val="000000"/>
      <w:u w:color="000000"/>
      <w:bdr w:val="nil"/>
      <w:lang w:eastAsia="lv-LV"/>
    </w:rPr>
  </w:style>
  <w:style w:type="numbering" w:customStyle="1" w:styleId="ImportedStyle4">
    <w:name w:val="Imported Style 4"/>
    <w:rsid w:val="002718BC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718BC"/>
    <w:rPr>
      <w:color w:val="954F72"/>
      <w:u w:val="single"/>
    </w:rPr>
  </w:style>
  <w:style w:type="paragraph" w:customStyle="1" w:styleId="msonormal0">
    <w:name w:val="msonormal"/>
    <w:basedOn w:val="Normal"/>
    <w:rsid w:val="00271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paragraph" w:customStyle="1" w:styleId="xl66">
    <w:name w:val="xl66"/>
    <w:basedOn w:val="Normal"/>
    <w:rsid w:val="0027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67">
    <w:name w:val="xl67"/>
    <w:basedOn w:val="Normal"/>
    <w:rsid w:val="0027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68">
    <w:name w:val="xl68"/>
    <w:basedOn w:val="Normal"/>
    <w:rsid w:val="0027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69">
    <w:name w:val="xl69"/>
    <w:basedOn w:val="Normal"/>
    <w:rsid w:val="002718B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0">
    <w:name w:val="xl70"/>
    <w:basedOn w:val="Normal"/>
    <w:rsid w:val="00271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1">
    <w:name w:val="xl71"/>
    <w:basedOn w:val="Normal"/>
    <w:rsid w:val="002718B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2">
    <w:name w:val="xl72"/>
    <w:basedOn w:val="Normal"/>
    <w:rsid w:val="002718B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3">
    <w:name w:val="xl73"/>
    <w:basedOn w:val="Normal"/>
    <w:rsid w:val="0027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4">
    <w:name w:val="xl74"/>
    <w:basedOn w:val="Normal"/>
    <w:rsid w:val="002718B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5">
    <w:name w:val="xl75"/>
    <w:basedOn w:val="Normal"/>
    <w:rsid w:val="002718B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6">
    <w:name w:val="xl76"/>
    <w:basedOn w:val="Normal"/>
    <w:rsid w:val="002718B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7">
    <w:name w:val="xl77"/>
    <w:basedOn w:val="Normal"/>
    <w:rsid w:val="002718B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8">
    <w:name w:val="xl78"/>
    <w:basedOn w:val="Normal"/>
    <w:rsid w:val="00271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79">
    <w:name w:val="xl79"/>
    <w:basedOn w:val="Normal"/>
    <w:rsid w:val="002718B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80">
    <w:name w:val="xl80"/>
    <w:basedOn w:val="Normal"/>
    <w:rsid w:val="002718BC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81">
    <w:name w:val="xl81"/>
    <w:basedOn w:val="Normal"/>
    <w:rsid w:val="002718BC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82">
    <w:name w:val="xl82"/>
    <w:basedOn w:val="Normal"/>
    <w:rsid w:val="002718BC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83">
    <w:name w:val="xl83"/>
    <w:basedOn w:val="Normal"/>
    <w:rsid w:val="002718B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84">
    <w:name w:val="xl84"/>
    <w:basedOn w:val="Normal"/>
    <w:rsid w:val="002718B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85">
    <w:name w:val="xl85"/>
    <w:basedOn w:val="Normal"/>
    <w:rsid w:val="002718B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  <w:style w:type="paragraph" w:customStyle="1" w:styleId="xl86">
    <w:name w:val="xl86"/>
    <w:basedOn w:val="Normal"/>
    <w:rsid w:val="0027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11612</Words>
  <Characters>6620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</cp:lastModifiedBy>
  <cp:revision>1</cp:revision>
  <dcterms:created xsi:type="dcterms:W3CDTF">2018-08-27T11:30:00Z</dcterms:created>
  <dcterms:modified xsi:type="dcterms:W3CDTF">2018-08-27T11:30:00Z</dcterms:modified>
</cp:coreProperties>
</file>